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005" w:rsidRDefault="00DD4005" w:rsidP="00DD4005">
      <w:pPr>
        <w:tabs>
          <w:tab w:val="left" w:pos="4253"/>
        </w:tabs>
        <w:spacing w:before="2400" w:after="120"/>
        <w:ind w:firstLine="0"/>
        <w:jc w:val="both"/>
        <w:rPr>
          <w:rFonts w:ascii="Book Antiqua" w:eastAsia="Times New Roman" w:hAnsi="Book Antiqua"/>
        </w:rPr>
      </w:pPr>
      <w:r>
        <w:rPr>
          <w:noProof/>
        </w:rPr>
        <w:drawing>
          <wp:anchor distT="0" distB="0" distL="114300" distR="114300" simplePos="0" relativeHeight="251660288" behindDoc="0" locked="0" layoutInCell="1" allowOverlap="1" wp14:anchorId="23131550" wp14:editId="0FE4D9CC">
            <wp:simplePos x="0" y="0"/>
            <wp:positionH relativeFrom="page">
              <wp:posOffset>2653030</wp:posOffset>
            </wp:positionH>
            <wp:positionV relativeFrom="page">
              <wp:posOffset>582930</wp:posOffset>
            </wp:positionV>
            <wp:extent cx="2227580" cy="1190625"/>
            <wp:effectExtent l="0" t="0" r="1270" b="9525"/>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7580" cy="11906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E25561C" wp14:editId="0FFCC350">
            <wp:simplePos x="0" y="0"/>
            <wp:positionH relativeFrom="margin">
              <wp:align>center</wp:align>
            </wp:positionH>
            <wp:positionV relativeFrom="paragraph">
              <wp:posOffset>3810</wp:posOffset>
            </wp:positionV>
            <wp:extent cx="605790" cy="619125"/>
            <wp:effectExtent l="0" t="0" r="3810" b="9525"/>
            <wp:wrapSquare wrapText="lef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 cy="6191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696544EA" wp14:editId="5544FA54">
                <wp:simplePos x="0" y="0"/>
                <wp:positionH relativeFrom="page">
                  <wp:posOffset>-20955</wp:posOffset>
                </wp:positionH>
                <wp:positionV relativeFrom="page">
                  <wp:posOffset>1914525</wp:posOffset>
                </wp:positionV>
                <wp:extent cx="7563485" cy="371475"/>
                <wp:effectExtent l="0" t="0" r="0" b="9525"/>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3485" cy="371475"/>
                        </a:xfrm>
                        <a:prstGeom prst="rect">
                          <a:avLst/>
                        </a:prstGeom>
                        <a:noFill/>
                        <a:ln>
                          <a:noFill/>
                        </a:ln>
                        <a:extLst/>
                      </wps:spPr>
                      <wps:txbx>
                        <w:txbxContent>
                          <w:p w:rsidR="00DD4005" w:rsidRDefault="00DD4005" w:rsidP="00DD4005">
                            <w:pPr>
                              <w:pStyle w:val="CdcIntestazionecopertina"/>
                              <w:jc w:val="center"/>
                              <w:rPr>
                                <w:rFonts w:ascii="Book Antiqua" w:hAnsi="Book Antiqua"/>
                                <w:sz w:val="28"/>
                                <w:szCs w:val="28"/>
                              </w:rPr>
                            </w:pPr>
                            <w:bookmarkStart w:id="0" w:name="_Hlk519840537"/>
                            <w:bookmarkStart w:id="1" w:name="_Hlk519840536"/>
                            <w:bookmarkStart w:id="2" w:name="_Hlk519840535"/>
                            <w:r>
                              <w:rPr>
                                <w:rFonts w:ascii="Book Antiqua" w:hAnsi="Book Antiqua"/>
                                <w:sz w:val="28"/>
                                <w:szCs w:val="28"/>
                              </w:rPr>
                              <w:t>Sezione delle autonomie</w:t>
                            </w:r>
                            <w:bookmarkEnd w:id="0"/>
                            <w:bookmarkEnd w:id="1"/>
                            <w:bookmarkEnd w:id="2"/>
                          </w:p>
                        </w:txbxContent>
                      </wps:txbx>
                      <wps:bodyPr rot="0" vert="horz" wrap="square" lIns="720000" tIns="45720" rIns="72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544EA" id="_x0000_t202" coordsize="21600,21600" o:spt="202" path="m,l,21600r21600,l21600,xe">
                <v:stroke joinstyle="miter"/>
                <v:path gradientshapeok="t" o:connecttype="rect"/>
              </v:shapetype>
              <v:shape id="Casella di testo 6" o:spid="_x0000_s1026" type="#_x0000_t202" style="position:absolute;left:0;text-align:left;margin-left:-1.65pt;margin-top:150.75pt;width:595.55pt;height:29.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" filled="f" stroked="f">
                <v:textbox inset="20mm,,20mm">
                  <w:txbxContent>
                    <w:p w:rsidR="00DD4005" w:rsidRDefault="00DD4005" w:rsidP="00DD4005">
                      <w:pPr>
                        <w:pStyle w:val="CdcIntestazionecopertina"/>
                        <w:jc w:val="center"/>
                        <w:rPr>
                          <w:rFonts w:ascii="Book Antiqua" w:hAnsi="Book Antiqua"/>
                          <w:sz w:val="28"/>
                          <w:szCs w:val="28"/>
                        </w:rPr>
                      </w:pPr>
                      <w:bookmarkStart w:id="3" w:name="_Hlk519840537"/>
                      <w:bookmarkStart w:id="4" w:name="_Hlk519840536"/>
                      <w:bookmarkStart w:id="5" w:name="_Hlk519840535"/>
                      <w:r>
                        <w:rPr>
                          <w:rFonts w:ascii="Book Antiqua" w:hAnsi="Book Antiqua"/>
                          <w:sz w:val="28"/>
                          <w:szCs w:val="28"/>
                        </w:rPr>
                        <w:t>Sezione delle autonomie</w:t>
                      </w:r>
                      <w:bookmarkEnd w:id="3"/>
                      <w:bookmarkEnd w:id="4"/>
                      <w:bookmarkEnd w:id="5"/>
                    </w:p>
                  </w:txbxContent>
                </v:textbox>
                <w10:wrap anchorx="page" anchory="page"/>
              </v:shape>
            </w:pict>
          </mc:Fallback>
        </mc:AlternateContent>
      </w:r>
      <w:r>
        <w:rPr>
          <w:rFonts w:ascii="Book Antiqua" w:eastAsia="Times New Roman" w:hAnsi="Book Antiqua"/>
        </w:rPr>
        <w:t xml:space="preserve">N.      </w:t>
      </w:r>
      <w:r w:rsidR="00797444">
        <w:rPr>
          <w:rFonts w:ascii="Book Antiqua" w:eastAsia="Times New Roman" w:hAnsi="Book Antiqua"/>
        </w:rPr>
        <w:t>18</w:t>
      </w:r>
      <w:r>
        <w:rPr>
          <w:rFonts w:ascii="Book Antiqua" w:eastAsia="Times New Roman" w:hAnsi="Book Antiqua"/>
        </w:rPr>
        <w:t>/SEZAUT/2018/QMIG</w:t>
      </w:r>
    </w:p>
    <w:p w:rsidR="00DD4005" w:rsidRDefault="00DD4005" w:rsidP="00DD4005">
      <w:pPr>
        <w:autoSpaceDE w:val="0"/>
        <w:autoSpaceDN w:val="0"/>
        <w:adjustRightInd w:val="0"/>
        <w:spacing w:after="80" w:line="340" w:lineRule="exact"/>
        <w:ind w:firstLine="0"/>
        <w:jc w:val="center"/>
        <w:rPr>
          <w:rFonts w:ascii="Book Antiqua" w:eastAsia="Times New Roman" w:hAnsi="Book Antiqua"/>
        </w:rPr>
      </w:pPr>
      <w:r>
        <w:rPr>
          <w:rFonts w:ascii="Book Antiqua" w:eastAsia="Times New Roman" w:hAnsi="Book Antiqua"/>
        </w:rPr>
        <w:t>Adunanza del 24 luglio 2018</w:t>
      </w:r>
    </w:p>
    <w:p w:rsidR="00DD4005" w:rsidRDefault="00DD4005" w:rsidP="00DD4005">
      <w:pPr>
        <w:autoSpaceDE w:val="0"/>
        <w:autoSpaceDN w:val="0"/>
        <w:adjustRightInd w:val="0"/>
        <w:spacing w:after="80" w:line="340" w:lineRule="exact"/>
        <w:ind w:firstLine="0"/>
        <w:jc w:val="center"/>
        <w:rPr>
          <w:rFonts w:ascii="Book Antiqua" w:eastAsia="Times New Roman" w:hAnsi="Book Antiqua"/>
        </w:rPr>
      </w:pPr>
      <w:r>
        <w:rPr>
          <w:rFonts w:ascii="Book Antiqua" w:eastAsia="Times New Roman" w:hAnsi="Book Antiqua"/>
        </w:rPr>
        <w:t>Presieduta dal Presidente della Corte dei conti</w:t>
      </w:r>
    </w:p>
    <w:p w:rsidR="00DD4005" w:rsidRDefault="00DD4005" w:rsidP="00DD4005">
      <w:pPr>
        <w:autoSpaceDE w:val="0"/>
        <w:autoSpaceDN w:val="0"/>
        <w:adjustRightInd w:val="0"/>
        <w:spacing w:after="80" w:line="340" w:lineRule="exact"/>
        <w:ind w:firstLine="0"/>
        <w:jc w:val="center"/>
        <w:rPr>
          <w:rFonts w:ascii="Book Antiqua" w:eastAsia="Times New Roman" w:hAnsi="Book Antiqua"/>
        </w:rPr>
      </w:pPr>
      <w:r>
        <w:rPr>
          <w:rFonts w:ascii="Book Antiqua" w:hAnsi="Book Antiqua"/>
        </w:rPr>
        <w:t>Angelo BUSCEMA</w:t>
      </w:r>
    </w:p>
    <w:p w:rsidR="00DD4005" w:rsidRDefault="00DD4005" w:rsidP="00DD4005">
      <w:pPr>
        <w:autoSpaceDE w:val="0"/>
        <w:autoSpaceDN w:val="0"/>
        <w:adjustRightInd w:val="0"/>
        <w:spacing w:after="120" w:line="340" w:lineRule="exact"/>
        <w:ind w:firstLine="0"/>
        <w:jc w:val="both"/>
        <w:rPr>
          <w:rFonts w:ascii="Book Antiqua" w:eastAsia="Calibri" w:hAnsi="Book Antiqua"/>
          <w:lang w:eastAsia="en-US"/>
        </w:rPr>
      </w:pPr>
      <w:r>
        <w:rPr>
          <w:rFonts w:ascii="Book Antiqua" w:eastAsia="Calibri" w:hAnsi="Book Antiqua"/>
          <w:lang w:eastAsia="en-US"/>
        </w:rPr>
        <w:t>Composta dai magistrati:</w:t>
      </w:r>
    </w:p>
    <w:p w:rsidR="00DD4005" w:rsidRDefault="00DD4005" w:rsidP="00DD4005">
      <w:pPr>
        <w:spacing w:after="80" w:line="340" w:lineRule="exact"/>
        <w:ind w:left="3119" w:hanging="3119"/>
        <w:jc w:val="both"/>
        <w:rPr>
          <w:rFonts w:ascii="Book Antiqua" w:hAnsi="Book Antiqua"/>
        </w:rPr>
      </w:pPr>
      <w:r>
        <w:rPr>
          <w:rFonts w:ascii="Book Antiqua" w:hAnsi="Book Antiqua"/>
        </w:rPr>
        <w:t>Presidenti di sezione</w:t>
      </w:r>
      <w:r>
        <w:rPr>
          <w:rFonts w:ascii="Book Antiqua" w:hAnsi="Book Antiqua"/>
        </w:rPr>
        <w:tab/>
        <w:t>Adolfo Teobaldo DE GIROLAMO, Francesco PETRONIO, Josef Hermann RÖSSLER, Cristina ZUCCHERETTI,</w:t>
      </w:r>
      <w:r>
        <w:t xml:space="preserve"> </w:t>
      </w:r>
      <w:r>
        <w:rPr>
          <w:rFonts w:ascii="Book Antiqua" w:hAnsi="Book Antiqua"/>
        </w:rPr>
        <w:t>Carlo GRECO,</w:t>
      </w:r>
      <w:r>
        <w:t xml:space="preserve"> </w:t>
      </w:r>
      <w:r>
        <w:rPr>
          <w:rFonts w:ascii="Book Antiqua" w:hAnsi="Book Antiqua"/>
        </w:rPr>
        <w:t>Fulvio Maria LONGAVITA, Fabio VIOLA;</w:t>
      </w:r>
    </w:p>
    <w:p w:rsidR="00DD4005" w:rsidRDefault="00DD4005" w:rsidP="00DD4005">
      <w:pPr>
        <w:spacing w:after="80" w:line="340" w:lineRule="exact"/>
        <w:ind w:left="3119" w:hanging="3119"/>
        <w:jc w:val="both"/>
        <w:rPr>
          <w:rFonts w:ascii="Book Antiqua" w:hAnsi="Book Antiqua"/>
        </w:rPr>
      </w:pPr>
      <w:r>
        <w:rPr>
          <w:rFonts w:ascii="Book Antiqua" w:hAnsi="Book Antiqua"/>
        </w:rPr>
        <w:t>Consiglieri</w:t>
      </w:r>
      <w:r>
        <w:rPr>
          <w:rFonts w:ascii="Book Antiqua" w:hAnsi="Book Antiqua"/>
        </w:rPr>
        <w:tab/>
        <w:t>Marta TONOLO, Alfredo GRASSELLI, Rinieri FERONE, Francesco UCCELLO, Adelisa CORSETTI, Elena BRANDOLINI, Nicola BENEDIZIONE, Pasquale PRINCIPATO, Dario PROVVIDERA, Rossana RUMMO, Maria Laura PRISLEI, Marcello DEGNI, Marco VILLANI, Stefano GLINIANSKI, Giampiero PIZZICONI;</w:t>
      </w:r>
    </w:p>
    <w:p w:rsidR="00DD4005" w:rsidRDefault="00DD4005" w:rsidP="00DD4005">
      <w:pPr>
        <w:spacing w:after="80" w:line="340" w:lineRule="exact"/>
        <w:ind w:left="3119" w:hanging="3119"/>
        <w:jc w:val="both"/>
        <w:rPr>
          <w:rFonts w:ascii="Book Antiqua" w:hAnsi="Book Antiqua"/>
        </w:rPr>
      </w:pPr>
      <w:r>
        <w:rPr>
          <w:rFonts w:ascii="Book Antiqua" w:hAnsi="Book Antiqua"/>
        </w:rPr>
        <w:t>Primi Referendari</w:t>
      </w:r>
      <w:r>
        <w:rPr>
          <w:rFonts w:ascii="Book Antiqua" w:hAnsi="Book Antiqua"/>
        </w:rPr>
        <w:tab/>
        <w:t>Giovanni GUIDA, Marco RANDOLFI, Francesco Antonino CANCILLA;</w:t>
      </w:r>
    </w:p>
    <w:p w:rsidR="00DD4005" w:rsidRDefault="00DD4005" w:rsidP="00DD4005">
      <w:pPr>
        <w:spacing w:after="80" w:line="340" w:lineRule="exact"/>
        <w:ind w:left="3119" w:hanging="3119"/>
        <w:jc w:val="both"/>
        <w:rPr>
          <w:rFonts w:ascii="Book Antiqua" w:hAnsi="Book Antiqua"/>
        </w:rPr>
      </w:pPr>
      <w:r>
        <w:rPr>
          <w:rFonts w:ascii="Book Antiqua" w:hAnsi="Book Antiqua"/>
        </w:rPr>
        <w:t>Referendari</w:t>
      </w:r>
      <w:r>
        <w:rPr>
          <w:rFonts w:ascii="Book Antiqua" w:hAnsi="Book Antiqua"/>
        </w:rPr>
        <w:tab/>
        <w:t>Stefania Anna DORIGO.</w:t>
      </w:r>
    </w:p>
    <w:p w:rsidR="009F6E0A" w:rsidRPr="00DD4005" w:rsidRDefault="009F6E0A" w:rsidP="00DD4005">
      <w:pPr>
        <w:shd w:val="clear" w:color="auto" w:fill="FFFFFF"/>
        <w:spacing w:after="100" w:line="340" w:lineRule="exact"/>
        <w:ind w:firstLine="0"/>
        <w:jc w:val="both"/>
        <w:rPr>
          <w:rFonts w:ascii="Book Antiqua" w:hAnsi="Book Antiqua"/>
        </w:rPr>
      </w:pPr>
    </w:p>
    <w:p w:rsidR="00DD4005" w:rsidRPr="00DD4005" w:rsidRDefault="00DD4005" w:rsidP="00DD4005">
      <w:pPr>
        <w:shd w:val="clear" w:color="auto" w:fill="FFFFFF"/>
        <w:spacing w:after="100" w:line="340" w:lineRule="exact"/>
        <w:ind w:firstLine="0"/>
        <w:jc w:val="both"/>
        <w:rPr>
          <w:rFonts w:ascii="Book Antiqua" w:hAnsi="Book Antiqua"/>
        </w:rPr>
      </w:pPr>
    </w:p>
    <w:p w:rsidR="000D5013" w:rsidRPr="000D5013" w:rsidRDefault="00DD4005" w:rsidP="000D5013">
      <w:pPr>
        <w:shd w:val="clear" w:color="auto" w:fill="FFFFFF"/>
        <w:spacing w:after="100" w:line="340" w:lineRule="exact"/>
        <w:ind w:firstLine="0"/>
        <w:jc w:val="both"/>
        <w:rPr>
          <w:rFonts w:ascii="Book Antiqua" w:hAnsi="Book Antiqua"/>
        </w:rPr>
      </w:pPr>
      <w:r>
        <w:rPr>
          <w:rFonts w:ascii="Book Antiqua" w:hAnsi="Book Antiqua"/>
        </w:rPr>
        <w:t>V</w:t>
      </w:r>
      <w:r w:rsidR="000D5013" w:rsidRPr="000D5013">
        <w:rPr>
          <w:rFonts w:ascii="Book Antiqua" w:hAnsi="Book Antiqua"/>
        </w:rPr>
        <w:t>isto l’art. 100, secondo comma, della Costituzione;</w:t>
      </w:r>
    </w:p>
    <w:p w:rsidR="000D5013" w:rsidRPr="000D5013" w:rsidRDefault="000D5013" w:rsidP="000D5013">
      <w:pPr>
        <w:shd w:val="clear" w:color="auto" w:fill="FFFFFF"/>
        <w:spacing w:after="100" w:line="340" w:lineRule="exact"/>
        <w:ind w:firstLine="0"/>
        <w:jc w:val="both"/>
        <w:rPr>
          <w:rFonts w:ascii="Book Antiqua" w:hAnsi="Book Antiqua"/>
        </w:rPr>
      </w:pPr>
      <w:r w:rsidRPr="000D5013">
        <w:rPr>
          <w:rFonts w:ascii="Book Antiqua" w:hAnsi="Book Antiqua"/>
        </w:rPr>
        <w:t>Vista la legge costituzionale 18 ottobre 2001, n. 3;</w:t>
      </w:r>
    </w:p>
    <w:p w:rsidR="000D5013" w:rsidRPr="000D5013" w:rsidRDefault="000D5013" w:rsidP="000D5013">
      <w:pPr>
        <w:shd w:val="clear" w:color="auto" w:fill="FFFFFF"/>
        <w:spacing w:after="100" w:line="340" w:lineRule="exact"/>
        <w:ind w:firstLine="0"/>
        <w:jc w:val="both"/>
        <w:rPr>
          <w:rFonts w:ascii="Book Antiqua" w:hAnsi="Book Antiqua"/>
        </w:rPr>
      </w:pPr>
      <w:r w:rsidRPr="000D5013">
        <w:rPr>
          <w:rFonts w:ascii="Book Antiqua" w:hAnsi="Book Antiqua"/>
        </w:rPr>
        <w:t xml:space="preserve">Visto il testo unico delle leggi sulla Corte dei conti, approvato con regio decreto 12 luglio 1934, n. 1214, e le successive modificazioni ed integrazioni; </w:t>
      </w:r>
    </w:p>
    <w:p w:rsidR="000D5013" w:rsidRPr="000D5013" w:rsidRDefault="000D5013" w:rsidP="000D5013">
      <w:pPr>
        <w:shd w:val="clear" w:color="auto" w:fill="FFFFFF"/>
        <w:spacing w:after="100" w:line="340" w:lineRule="exact"/>
        <w:ind w:firstLine="0"/>
        <w:jc w:val="both"/>
        <w:rPr>
          <w:rFonts w:ascii="Book Antiqua" w:hAnsi="Book Antiqua"/>
        </w:rPr>
      </w:pPr>
      <w:r w:rsidRPr="000D5013">
        <w:rPr>
          <w:rFonts w:ascii="Book Antiqua" w:hAnsi="Book Antiqua"/>
        </w:rPr>
        <w:t>Visto l’art. 3 della legge 14 gennaio 1994, n. 20;</w:t>
      </w:r>
    </w:p>
    <w:p w:rsidR="000D5013" w:rsidRPr="00632457" w:rsidRDefault="000D5013" w:rsidP="000D5013">
      <w:pPr>
        <w:shd w:val="clear" w:color="auto" w:fill="FFFFFF"/>
        <w:spacing w:after="100" w:line="340" w:lineRule="exact"/>
        <w:ind w:firstLine="0"/>
        <w:jc w:val="both"/>
        <w:rPr>
          <w:rFonts w:ascii="Book Antiqua" w:hAnsi="Book Antiqua"/>
          <w:spacing w:val="-4"/>
        </w:rPr>
      </w:pPr>
      <w:r w:rsidRPr="00632457">
        <w:rPr>
          <w:rFonts w:ascii="Book Antiqua" w:hAnsi="Book Antiqua"/>
          <w:spacing w:val="-4"/>
        </w:rPr>
        <w:t>Visto l’art. 7, comma 8, della legge 5 giugno 2003, n. 131, recante disposizioni per l’adeguamento dell’ordinamento della Repubblica alla legge costituzionale 18 ottobre 2001, n. 3;</w:t>
      </w:r>
    </w:p>
    <w:p w:rsidR="000D5013" w:rsidRPr="000D5013" w:rsidRDefault="000D5013" w:rsidP="000D5013">
      <w:pPr>
        <w:shd w:val="clear" w:color="auto" w:fill="FFFFFF"/>
        <w:spacing w:after="100" w:line="340" w:lineRule="exact"/>
        <w:ind w:firstLine="0"/>
        <w:jc w:val="both"/>
        <w:rPr>
          <w:rFonts w:ascii="Book Antiqua" w:hAnsi="Book Antiqua"/>
        </w:rPr>
      </w:pPr>
      <w:r w:rsidRPr="000D5013">
        <w:rPr>
          <w:rFonts w:ascii="Book Antiqua" w:hAnsi="Book Antiqua"/>
        </w:rPr>
        <w:t>Visto il regolamento per l’organizzazione delle funzioni di controllo della Corte dei conti, approvato dalle Sezioni riunite con la deliberazione n. 14 del 16 giugno 2000 e le successive modifiche ed integrazioni;</w:t>
      </w:r>
    </w:p>
    <w:p w:rsidR="000D5013" w:rsidRPr="000D5013" w:rsidRDefault="000D5013" w:rsidP="000D5013">
      <w:pPr>
        <w:shd w:val="clear" w:color="auto" w:fill="FFFFFF"/>
        <w:spacing w:after="100" w:line="340" w:lineRule="exact"/>
        <w:ind w:firstLine="0"/>
        <w:jc w:val="both"/>
        <w:rPr>
          <w:rFonts w:ascii="Book Antiqua" w:hAnsi="Book Antiqua"/>
        </w:rPr>
      </w:pPr>
      <w:r w:rsidRPr="000D5013">
        <w:rPr>
          <w:rFonts w:ascii="Book Antiqua" w:hAnsi="Book Antiqua"/>
        </w:rPr>
        <w:lastRenderedPageBreak/>
        <w:t xml:space="preserve">Visto l’art. 6, comma 4, del </w:t>
      </w:r>
      <w:proofErr w:type="spellStart"/>
      <w:r w:rsidRPr="000D5013">
        <w:rPr>
          <w:rFonts w:ascii="Book Antiqua" w:hAnsi="Book Antiqua"/>
        </w:rPr>
        <w:t>d.l.</w:t>
      </w:r>
      <w:proofErr w:type="spellEnd"/>
      <w:r w:rsidRPr="000D5013">
        <w:rPr>
          <w:rFonts w:ascii="Book Antiqua" w:hAnsi="Book Antiqua"/>
        </w:rPr>
        <w:t xml:space="preserve"> 10 ottobre 2012, n. 174, convertito, con modificazioni, dalla legge 7 dicembre 2012, n. 213 e le successive modifiche ed integrazioni;</w:t>
      </w:r>
    </w:p>
    <w:p w:rsidR="000D5013" w:rsidRPr="00AB168D" w:rsidRDefault="000D5013" w:rsidP="000D5013">
      <w:pPr>
        <w:shd w:val="clear" w:color="auto" w:fill="FFFFFF"/>
        <w:spacing w:after="100" w:line="340" w:lineRule="exact"/>
        <w:ind w:firstLine="0"/>
        <w:jc w:val="both"/>
        <w:rPr>
          <w:rFonts w:ascii="Book Antiqua" w:hAnsi="Book Antiqua"/>
        </w:rPr>
      </w:pPr>
      <w:r w:rsidRPr="000D5013">
        <w:rPr>
          <w:rFonts w:ascii="Book Antiqua" w:hAnsi="Book Antiqua"/>
        </w:rPr>
        <w:t xml:space="preserve">Vista la deliberazione n. </w:t>
      </w:r>
      <w:r>
        <w:rPr>
          <w:rFonts w:ascii="Book Antiqua" w:hAnsi="Book Antiqua"/>
        </w:rPr>
        <w:t>192</w:t>
      </w:r>
      <w:r w:rsidRPr="000D5013">
        <w:rPr>
          <w:rFonts w:ascii="Book Antiqua" w:hAnsi="Book Antiqua"/>
        </w:rPr>
        <w:t>/2018</w:t>
      </w:r>
      <w:r w:rsidRPr="00AB168D">
        <w:rPr>
          <w:rFonts w:ascii="Book Antiqua" w:hAnsi="Book Antiqua"/>
        </w:rPr>
        <w:t>/</w:t>
      </w:r>
      <w:r w:rsidR="006161CE" w:rsidRPr="00AB168D">
        <w:rPr>
          <w:rFonts w:ascii="Book Antiqua" w:hAnsi="Book Antiqua"/>
        </w:rPr>
        <w:t>QMIG</w:t>
      </w:r>
      <w:r w:rsidRPr="00AB168D">
        <w:rPr>
          <w:rFonts w:ascii="Book Antiqua" w:hAnsi="Book Antiqua"/>
        </w:rPr>
        <w:t>, depositata il 18 giugno 2018, con la quale la Sezione regionale di controllo per il Veneto ha rimesso al Presidente della Corte dei conti, ai sensi dell’art. 6,</w:t>
      </w:r>
      <w:r w:rsidR="00F0306D" w:rsidRPr="00AB168D">
        <w:rPr>
          <w:rFonts w:ascii="Book Antiqua" w:hAnsi="Book Antiqua"/>
        </w:rPr>
        <w:t xml:space="preserve"> comma 4, del </w:t>
      </w:r>
      <w:proofErr w:type="spellStart"/>
      <w:r w:rsidR="00F0306D" w:rsidRPr="00AB168D">
        <w:rPr>
          <w:rFonts w:ascii="Book Antiqua" w:hAnsi="Book Antiqua"/>
        </w:rPr>
        <w:t>d.l.</w:t>
      </w:r>
      <w:proofErr w:type="spellEnd"/>
      <w:r w:rsidR="00F0306D" w:rsidRPr="00AB168D">
        <w:rPr>
          <w:rFonts w:ascii="Book Antiqua" w:hAnsi="Book Antiqua"/>
        </w:rPr>
        <w:t xml:space="preserve"> n. 174/2012,</w:t>
      </w:r>
      <w:r w:rsidRPr="00AB168D">
        <w:rPr>
          <w:rFonts w:ascii="Book Antiqua" w:hAnsi="Book Antiqua"/>
        </w:rPr>
        <w:t xml:space="preserve"> </w:t>
      </w:r>
      <w:r w:rsidR="009D505F" w:rsidRPr="00AB168D">
        <w:rPr>
          <w:rFonts w:ascii="Book Antiqua" w:hAnsi="Book Antiqua"/>
        </w:rPr>
        <w:t xml:space="preserve">la </w:t>
      </w:r>
      <w:r w:rsidRPr="00AB168D">
        <w:rPr>
          <w:rFonts w:ascii="Book Antiqua" w:hAnsi="Book Antiqua"/>
        </w:rPr>
        <w:t>questione di massima afferente il riconoscimento dei diritti di rogito, ex art. 10, comma 2-</w:t>
      </w:r>
      <w:r w:rsidRPr="00AB168D">
        <w:rPr>
          <w:rFonts w:ascii="Book Antiqua" w:hAnsi="Book Antiqua"/>
          <w:i/>
        </w:rPr>
        <w:t>bis</w:t>
      </w:r>
      <w:r w:rsidRPr="00AB168D">
        <w:rPr>
          <w:rFonts w:ascii="Book Antiqua" w:hAnsi="Book Antiqua"/>
        </w:rPr>
        <w:t xml:space="preserve">, del </w:t>
      </w:r>
      <w:proofErr w:type="spellStart"/>
      <w:r w:rsidRPr="00AB168D">
        <w:rPr>
          <w:rFonts w:ascii="Book Antiqua" w:hAnsi="Book Antiqua"/>
        </w:rPr>
        <w:t>d.l.</w:t>
      </w:r>
      <w:proofErr w:type="spellEnd"/>
      <w:r w:rsidRPr="00AB168D">
        <w:rPr>
          <w:rFonts w:ascii="Book Antiqua" w:hAnsi="Book Antiqua"/>
        </w:rPr>
        <w:t xml:space="preserve"> n. 90/2014, ai Segretari comunali di fascia A e B, negli enti privi di dirigenza;</w:t>
      </w:r>
    </w:p>
    <w:p w:rsidR="000D5013" w:rsidRPr="00AB168D" w:rsidRDefault="000D5013" w:rsidP="000D5013">
      <w:pPr>
        <w:shd w:val="clear" w:color="auto" w:fill="FFFFFF"/>
        <w:spacing w:after="100" w:line="340" w:lineRule="exact"/>
        <w:ind w:firstLine="0"/>
        <w:jc w:val="both"/>
        <w:rPr>
          <w:rFonts w:ascii="Book Antiqua" w:hAnsi="Book Antiqua"/>
        </w:rPr>
      </w:pPr>
      <w:r w:rsidRPr="00AB168D">
        <w:rPr>
          <w:rFonts w:ascii="Book Antiqua" w:hAnsi="Book Antiqua"/>
        </w:rPr>
        <w:t xml:space="preserve">Vista l’ordinanza del Presidente della Corte dei conti n. 14 del 2 luglio 2018 con la quale, valutati i presupposti per il deferimento dell’esame e della risoluzione della predetta questione di massima ai sensi del richiamato art. 6, comma 4, del </w:t>
      </w:r>
      <w:proofErr w:type="spellStart"/>
      <w:r w:rsidRPr="00AB168D">
        <w:rPr>
          <w:rFonts w:ascii="Book Antiqua" w:hAnsi="Book Antiqua"/>
        </w:rPr>
        <w:t>d.l.</w:t>
      </w:r>
      <w:proofErr w:type="spellEnd"/>
      <w:r w:rsidRPr="00AB168D">
        <w:rPr>
          <w:rFonts w:ascii="Book Antiqua" w:hAnsi="Book Antiqua"/>
        </w:rPr>
        <w:t xml:space="preserve"> n. 174/2012, è stata rimessa alla Sezione delle autonomie la pronuncia in ordine alla questione prospettata dalla Sezione regionale di controllo per il Veneto;</w:t>
      </w:r>
    </w:p>
    <w:p w:rsidR="000D5013" w:rsidRPr="00AB168D" w:rsidRDefault="000D5013" w:rsidP="000D5013">
      <w:pPr>
        <w:shd w:val="clear" w:color="auto" w:fill="FFFFFF"/>
        <w:spacing w:after="100" w:line="340" w:lineRule="exact"/>
        <w:ind w:firstLine="0"/>
        <w:jc w:val="both"/>
        <w:rPr>
          <w:rFonts w:ascii="Book Antiqua" w:hAnsi="Book Antiqua"/>
        </w:rPr>
      </w:pPr>
      <w:r w:rsidRPr="00AB168D">
        <w:rPr>
          <w:rFonts w:ascii="Book Antiqua" w:hAnsi="Book Antiqua"/>
        </w:rPr>
        <w:t>Vista la nota del Presidente della Corte dei conti n. 1288 del 5 luglio 2018 di convocazione della Sezione delle autonomie per l’odierna adunanza;</w:t>
      </w:r>
    </w:p>
    <w:p w:rsidR="008A70DA" w:rsidRPr="00AB168D" w:rsidRDefault="000D5013" w:rsidP="000D5013">
      <w:pPr>
        <w:shd w:val="clear" w:color="auto" w:fill="FFFFFF"/>
        <w:spacing w:after="100" w:line="340" w:lineRule="exact"/>
        <w:ind w:firstLine="0"/>
        <w:jc w:val="both"/>
        <w:rPr>
          <w:rFonts w:ascii="Book Antiqua" w:hAnsi="Book Antiqua"/>
          <w:spacing w:val="-4"/>
        </w:rPr>
      </w:pPr>
      <w:r w:rsidRPr="00AB168D">
        <w:rPr>
          <w:rFonts w:ascii="Book Antiqua" w:hAnsi="Book Antiqua"/>
        </w:rPr>
        <w:t>Udit</w:t>
      </w:r>
      <w:r w:rsidR="009E4050" w:rsidRPr="00AB168D">
        <w:rPr>
          <w:rFonts w:ascii="Book Antiqua" w:hAnsi="Book Antiqua"/>
        </w:rPr>
        <w:t>i</w:t>
      </w:r>
      <w:r w:rsidRPr="00AB168D">
        <w:rPr>
          <w:rFonts w:ascii="Book Antiqua" w:hAnsi="Book Antiqua"/>
        </w:rPr>
        <w:t xml:space="preserve"> i relatori, Consiglieri Rinieri Ferone e Stefano Glinianski;</w:t>
      </w:r>
    </w:p>
    <w:p w:rsidR="00DC3C1B" w:rsidRPr="00AB168D" w:rsidRDefault="000D5013" w:rsidP="008F15A7">
      <w:pPr>
        <w:shd w:val="clear" w:color="auto" w:fill="FFFFFF"/>
        <w:spacing w:before="240" w:after="240" w:line="340" w:lineRule="exact"/>
        <w:ind w:firstLine="0"/>
        <w:jc w:val="center"/>
        <w:rPr>
          <w:rFonts w:ascii="Book Antiqua" w:hAnsi="Book Antiqua"/>
          <w:b/>
          <w:spacing w:val="20"/>
        </w:rPr>
      </w:pPr>
      <w:r w:rsidRPr="00AB168D">
        <w:rPr>
          <w:rFonts w:ascii="Book Antiqua" w:hAnsi="Book Antiqua"/>
          <w:b/>
          <w:spacing w:val="20"/>
        </w:rPr>
        <w:t>PREMESSO</w:t>
      </w:r>
    </w:p>
    <w:p w:rsidR="004A3B61" w:rsidRPr="00AB168D" w:rsidRDefault="006161CE" w:rsidP="00EE65C8">
      <w:pPr>
        <w:shd w:val="clear" w:color="auto" w:fill="FFFFFF"/>
        <w:spacing w:after="100" w:line="340" w:lineRule="exact"/>
        <w:ind w:firstLine="0"/>
        <w:jc w:val="both"/>
        <w:rPr>
          <w:rFonts w:ascii="Book Antiqua" w:hAnsi="Book Antiqua"/>
        </w:rPr>
      </w:pPr>
      <w:r w:rsidRPr="00AB168D">
        <w:rPr>
          <w:rFonts w:ascii="Book Antiqua" w:hAnsi="Book Antiqua"/>
        </w:rPr>
        <w:t xml:space="preserve">1. </w:t>
      </w:r>
      <w:r w:rsidR="002F4F97" w:rsidRPr="00AB168D">
        <w:rPr>
          <w:rFonts w:ascii="Book Antiqua" w:hAnsi="Book Antiqua"/>
        </w:rPr>
        <w:t>Con deliberazione</w:t>
      </w:r>
      <w:r w:rsidR="00F0306D" w:rsidRPr="00AB168D">
        <w:rPr>
          <w:rFonts w:ascii="Book Antiqua" w:hAnsi="Book Antiqua"/>
        </w:rPr>
        <w:t xml:space="preserve"> n. 192/2018/</w:t>
      </w:r>
      <w:r w:rsidRPr="00AB168D">
        <w:rPr>
          <w:rFonts w:ascii="Book Antiqua" w:hAnsi="Book Antiqua"/>
        </w:rPr>
        <w:t>QMIG</w:t>
      </w:r>
      <w:r w:rsidR="00F0306D" w:rsidRPr="00AB168D">
        <w:rPr>
          <w:rFonts w:ascii="Book Antiqua" w:hAnsi="Book Antiqua"/>
        </w:rPr>
        <w:t>,</w:t>
      </w:r>
      <w:r w:rsidR="004A3B61" w:rsidRPr="00AB168D">
        <w:rPr>
          <w:rFonts w:ascii="Book Antiqua" w:hAnsi="Book Antiqua"/>
        </w:rPr>
        <w:t xml:space="preserve"> la Sezione regionale di controllo per il Veneto ha sollevato una questione di massima </w:t>
      </w:r>
      <w:r w:rsidR="00ED205F" w:rsidRPr="00AB168D">
        <w:rPr>
          <w:rFonts w:ascii="Book Antiqua" w:hAnsi="Book Antiqua"/>
        </w:rPr>
        <w:t>in merito all'ambito applicativo dell'art. 1</w:t>
      </w:r>
      <w:r w:rsidR="004A3B61" w:rsidRPr="00AB168D">
        <w:rPr>
          <w:rFonts w:ascii="Book Antiqua" w:hAnsi="Book Antiqua"/>
        </w:rPr>
        <w:t>0</w:t>
      </w:r>
      <w:r w:rsidR="00ED205F" w:rsidRPr="00AB168D">
        <w:rPr>
          <w:rFonts w:ascii="Book Antiqua" w:hAnsi="Book Antiqua"/>
        </w:rPr>
        <w:t>, comma 2</w:t>
      </w:r>
      <w:r w:rsidR="00ED205F" w:rsidRPr="00EE65C8">
        <w:rPr>
          <w:rFonts w:ascii="Book Antiqua" w:hAnsi="Book Antiqua"/>
          <w:i/>
        </w:rPr>
        <w:t>-bis</w:t>
      </w:r>
      <w:r w:rsidR="00ED205F" w:rsidRPr="00AB168D">
        <w:rPr>
          <w:rFonts w:ascii="Book Antiqua" w:hAnsi="Book Antiqua"/>
        </w:rPr>
        <w:t>, del decreto legge n. 90/2014</w:t>
      </w:r>
      <w:r w:rsidR="004A3B61" w:rsidRPr="00AB168D">
        <w:rPr>
          <w:rFonts w:ascii="Book Antiqua" w:hAnsi="Book Antiqua"/>
        </w:rPr>
        <w:t xml:space="preserve"> riguardante il ricon</w:t>
      </w:r>
      <w:r w:rsidR="00F0306D" w:rsidRPr="00AB168D">
        <w:rPr>
          <w:rFonts w:ascii="Book Antiqua" w:hAnsi="Book Antiqua"/>
        </w:rPr>
        <w:t>oscimento dei diritti di rogito</w:t>
      </w:r>
      <w:r w:rsidR="004A3B61" w:rsidRPr="00AB168D">
        <w:rPr>
          <w:rFonts w:ascii="Book Antiqua" w:hAnsi="Book Antiqua"/>
        </w:rPr>
        <w:t xml:space="preserve"> ai Segretari comunali di fascia A e B, negli enti privi di dirigenza.</w:t>
      </w:r>
    </w:p>
    <w:p w:rsidR="00F66EC8" w:rsidRPr="006161CE" w:rsidRDefault="004A3B61" w:rsidP="00AB168D">
      <w:pPr>
        <w:shd w:val="clear" w:color="auto" w:fill="FFFFFF"/>
        <w:spacing w:after="100" w:line="340" w:lineRule="exact"/>
        <w:ind w:firstLine="0"/>
        <w:jc w:val="both"/>
        <w:rPr>
          <w:rFonts w:ascii="Book Antiqua" w:hAnsi="Book Antiqua"/>
        </w:rPr>
      </w:pPr>
      <w:r w:rsidRPr="00AB168D">
        <w:rPr>
          <w:rFonts w:ascii="Book Antiqua" w:hAnsi="Book Antiqua"/>
        </w:rPr>
        <w:t>La questione trae orig</w:t>
      </w:r>
      <w:r w:rsidR="00F0306D" w:rsidRPr="00AB168D">
        <w:rPr>
          <w:rFonts w:ascii="Book Antiqua" w:hAnsi="Book Antiqua"/>
        </w:rPr>
        <w:t xml:space="preserve">ine da una richiesta di parere </w:t>
      </w:r>
      <w:r w:rsidRPr="00AB168D">
        <w:rPr>
          <w:rFonts w:ascii="Book Antiqua" w:hAnsi="Book Antiqua"/>
        </w:rPr>
        <w:t>de</w:t>
      </w:r>
      <w:r w:rsidR="00AB168D">
        <w:rPr>
          <w:rFonts w:ascii="Book Antiqua" w:hAnsi="Book Antiqua"/>
        </w:rPr>
        <w:t xml:space="preserve">l comune di Spinea (VE). Detto </w:t>
      </w:r>
      <w:r w:rsidR="00ED205F" w:rsidRPr="00AB168D">
        <w:rPr>
          <w:rFonts w:ascii="Book Antiqua" w:hAnsi="Book Antiqua"/>
        </w:rPr>
        <w:t xml:space="preserve">comune ha riferito che il Segretario Generale </w:t>
      </w:r>
      <w:r w:rsidRPr="00AB168D">
        <w:rPr>
          <w:rFonts w:ascii="Book Antiqua" w:hAnsi="Book Antiqua"/>
        </w:rPr>
        <w:t xml:space="preserve">in servizio </w:t>
      </w:r>
      <w:r w:rsidR="00F66EC8" w:rsidRPr="00AB168D">
        <w:rPr>
          <w:rFonts w:ascii="Book Antiqua" w:hAnsi="Book Antiqua"/>
        </w:rPr>
        <w:t>in quell’</w:t>
      </w:r>
      <w:r w:rsidR="007E7443" w:rsidRPr="00AB168D">
        <w:rPr>
          <w:rFonts w:ascii="Book Antiqua" w:hAnsi="Book Antiqua"/>
        </w:rPr>
        <w:t>E</w:t>
      </w:r>
      <w:r w:rsidRPr="00AB168D">
        <w:rPr>
          <w:rFonts w:ascii="Book Antiqua" w:hAnsi="Book Antiqua"/>
        </w:rPr>
        <w:t>nte,</w:t>
      </w:r>
      <w:r w:rsidRPr="006161CE">
        <w:rPr>
          <w:rFonts w:ascii="Book Antiqua" w:hAnsi="Book Antiqua"/>
        </w:rPr>
        <w:t xml:space="preserve"> </w:t>
      </w:r>
      <w:r w:rsidR="00ED205F" w:rsidRPr="006161CE">
        <w:rPr>
          <w:rFonts w:ascii="Book Antiqua" w:hAnsi="Book Antiqua"/>
        </w:rPr>
        <w:t xml:space="preserve">(Ente privo di figure dirigenziali che conta circa 28.000 abitanti), in qualità di Ufficiale Rogante, ha stipulato dall’anno 2014 diversi contratti in forma pubblica per i quali ha chiesto, ripetutamente, il pagamento dei diritti di rogito. </w:t>
      </w:r>
      <w:r w:rsidR="00F66EC8" w:rsidRPr="006161CE">
        <w:rPr>
          <w:rFonts w:ascii="Book Antiqua" w:hAnsi="Book Antiqua"/>
        </w:rPr>
        <w:t xml:space="preserve">L’Ente, a titolo prudenziale, tenuto conto di un indirizzo giurisprudenziale del giudice del lavoro favorevole al riconoscimento di tale pretesa - indirizzo che si va consolidando - </w:t>
      </w:r>
      <w:r w:rsidR="00ED205F" w:rsidRPr="006161CE">
        <w:rPr>
          <w:rFonts w:ascii="Book Antiqua" w:hAnsi="Book Antiqua"/>
        </w:rPr>
        <w:t>ha accantonato tali somm</w:t>
      </w:r>
      <w:r w:rsidR="00F66EC8" w:rsidRPr="006161CE">
        <w:rPr>
          <w:rFonts w:ascii="Book Antiqua" w:hAnsi="Book Antiqua"/>
        </w:rPr>
        <w:t>e, ma</w:t>
      </w:r>
      <w:r w:rsidR="00ED205F" w:rsidRPr="006161CE">
        <w:rPr>
          <w:rFonts w:ascii="Book Antiqua" w:hAnsi="Book Antiqua"/>
        </w:rPr>
        <w:t xml:space="preserve"> non</w:t>
      </w:r>
      <w:r w:rsidR="00F66EC8" w:rsidRPr="006161CE">
        <w:rPr>
          <w:rFonts w:ascii="Book Antiqua" w:hAnsi="Book Antiqua"/>
        </w:rPr>
        <w:t xml:space="preserve"> ha</w:t>
      </w:r>
      <w:r w:rsidR="00ED205F" w:rsidRPr="006161CE">
        <w:rPr>
          <w:rFonts w:ascii="Book Antiqua" w:hAnsi="Book Antiqua"/>
        </w:rPr>
        <w:t xml:space="preserve"> </w:t>
      </w:r>
      <w:r w:rsidR="00F66EC8" w:rsidRPr="006161CE">
        <w:rPr>
          <w:rFonts w:ascii="Book Antiqua" w:hAnsi="Book Antiqua"/>
        </w:rPr>
        <w:t>corrisposto nulla attese le difficoltà interpretative delle vigenti disposizi</w:t>
      </w:r>
      <w:r w:rsidR="007E7443">
        <w:rPr>
          <w:rFonts w:ascii="Book Antiqua" w:hAnsi="Book Antiqua"/>
        </w:rPr>
        <w:t xml:space="preserve">oni che regolano la materia ed </w:t>
      </w:r>
      <w:r w:rsidR="00F66EC8" w:rsidRPr="006161CE">
        <w:rPr>
          <w:rFonts w:ascii="Book Antiqua" w:hAnsi="Book Antiqua"/>
        </w:rPr>
        <w:t xml:space="preserve">ha chiesto alla Sezione remittente se possa ritenersi legittima la liquidazione dei diritti di rogito al Segretario Generale. </w:t>
      </w:r>
    </w:p>
    <w:p w:rsidR="00ED205F" w:rsidRPr="00AB168D" w:rsidRDefault="007E7443" w:rsidP="00EE65C8">
      <w:pPr>
        <w:widowControl w:val="0"/>
        <w:spacing w:after="100" w:line="340" w:lineRule="exact"/>
        <w:ind w:firstLine="0"/>
        <w:jc w:val="both"/>
        <w:rPr>
          <w:rFonts w:ascii="Book Antiqua" w:hAnsi="Book Antiqua"/>
        </w:rPr>
      </w:pPr>
      <w:r>
        <w:rPr>
          <w:rFonts w:ascii="Book Antiqua" w:hAnsi="Book Antiqua"/>
        </w:rPr>
        <w:t>2.</w:t>
      </w:r>
      <w:r w:rsidR="00F66EC8" w:rsidRPr="006161CE">
        <w:rPr>
          <w:rFonts w:ascii="Book Antiqua" w:hAnsi="Book Antiqua"/>
        </w:rPr>
        <w:t xml:space="preserve"> L’esame</w:t>
      </w:r>
      <w:r w:rsidR="0063359F" w:rsidRPr="006161CE">
        <w:rPr>
          <w:rFonts w:ascii="Book Antiqua" w:hAnsi="Book Antiqua"/>
        </w:rPr>
        <w:t>,</w:t>
      </w:r>
      <w:r w:rsidR="00F66EC8" w:rsidRPr="006161CE">
        <w:rPr>
          <w:rFonts w:ascii="Book Antiqua" w:hAnsi="Book Antiqua"/>
        </w:rPr>
        <w:t xml:space="preserve"> in punto di diritto</w:t>
      </w:r>
      <w:r w:rsidR="0063359F" w:rsidRPr="006161CE">
        <w:rPr>
          <w:rFonts w:ascii="Book Antiqua" w:hAnsi="Book Antiqua"/>
        </w:rPr>
        <w:t>,</w:t>
      </w:r>
      <w:r w:rsidR="00F66EC8" w:rsidRPr="006161CE">
        <w:rPr>
          <w:rFonts w:ascii="Book Antiqua" w:hAnsi="Book Antiqua"/>
        </w:rPr>
        <w:t xml:space="preserve"> della questione posta richiede un preliminare, sintetico, richiamo della normativa </w:t>
      </w:r>
      <w:r w:rsidR="00F66EC8" w:rsidRPr="00AB168D">
        <w:rPr>
          <w:rFonts w:ascii="Book Antiqua" w:hAnsi="Book Antiqua"/>
        </w:rPr>
        <w:t xml:space="preserve">concernente lo </w:t>
      </w:r>
      <w:r w:rsidR="00F66EC8" w:rsidRPr="00AB168D">
        <w:rPr>
          <w:rFonts w:ascii="Book Antiqua" w:hAnsi="Book Antiqua"/>
          <w:i/>
        </w:rPr>
        <w:t xml:space="preserve">status </w:t>
      </w:r>
      <w:r w:rsidR="00F66EC8" w:rsidRPr="00AB168D">
        <w:rPr>
          <w:rFonts w:ascii="Book Antiqua" w:hAnsi="Book Antiqua"/>
        </w:rPr>
        <w:t xml:space="preserve">giuridico ed economico del segretario comunale. </w:t>
      </w:r>
      <w:r w:rsidR="0063359F" w:rsidRPr="00AB168D">
        <w:rPr>
          <w:rFonts w:ascii="Book Antiqua" w:hAnsi="Book Antiqua"/>
        </w:rPr>
        <w:t>In proposito va detto che i</w:t>
      </w:r>
      <w:r w:rsidRPr="00AB168D">
        <w:rPr>
          <w:rFonts w:ascii="Book Antiqua" w:hAnsi="Book Antiqua"/>
        </w:rPr>
        <w:t>l S</w:t>
      </w:r>
      <w:r w:rsidR="00ED205F" w:rsidRPr="00AB168D">
        <w:rPr>
          <w:rFonts w:ascii="Book Antiqua" w:hAnsi="Book Antiqua"/>
        </w:rPr>
        <w:t xml:space="preserve">egretario </w:t>
      </w:r>
      <w:r w:rsidRPr="00AB168D">
        <w:rPr>
          <w:rFonts w:ascii="Book Antiqua" w:hAnsi="Book Antiqua"/>
        </w:rPr>
        <w:t>Comunale (Segretario G</w:t>
      </w:r>
      <w:r w:rsidR="00ED205F" w:rsidRPr="00AB168D">
        <w:rPr>
          <w:rFonts w:ascii="Book Antiqua" w:hAnsi="Book Antiqua"/>
        </w:rPr>
        <w:t xml:space="preserve">enerale negli enti con popolazione superiore a 10.000 abitanti) ai sensi dell’art. 97, comma 4, lettera </w:t>
      </w:r>
      <w:r w:rsidR="00ED205F" w:rsidRPr="00AB168D">
        <w:rPr>
          <w:rFonts w:ascii="Book Antiqua" w:hAnsi="Book Antiqua"/>
          <w:i/>
        </w:rPr>
        <w:t>c)</w:t>
      </w:r>
      <w:r w:rsidR="00ED205F" w:rsidRPr="00AB168D">
        <w:rPr>
          <w:rFonts w:ascii="Book Antiqua" w:hAnsi="Book Antiqua"/>
        </w:rPr>
        <w:t>, del d.lgs. n. 267/2000 roga, su richiesta dell'ente, i contratti nei quali l'ente è pa</w:t>
      </w:r>
      <w:r w:rsidR="0063359F" w:rsidRPr="00AB168D">
        <w:rPr>
          <w:rFonts w:ascii="Book Antiqua" w:hAnsi="Book Antiqua"/>
        </w:rPr>
        <w:t>rte. Per tale attività</w:t>
      </w:r>
      <w:r w:rsidR="00ED205F" w:rsidRPr="00AB168D">
        <w:rPr>
          <w:rFonts w:ascii="Book Antiqua" w:hAnsi="Book Antiqua"/>
        </w:rPr>
        <w:t xml:space="preserve">, originariamente, l’art 41 della l. n. 312/1980 attribuiva al </w:t>
      </w:r>
      <w:r w:rsidR="0063359F" w:rsidRPr="00AB168D">
        <w:rPr>
          <w:rFonts w:ascii="Book Antiqua" w:hAnsi="Book Antiqua"/>
        </w:rPr>
        <w:t>s</w:t>
      </w:r>
      <w:r w:rsidR="00ED205F" w:rsidRPr="00AB168D">
        <w:rPr>
          <w:rFonts w:ascii="Book Antiqua" w:hAnsi="Book Antiqua"/>
        </w:rPr>
        <w:t xml:space="preserve">egretario </w:t>
      </w:r>
      <w:r w:rsidR="0063359F" w:rsidRPr="00AB168D">
        <w:rPr>
          <w:rFonts w:ascii="Book Antiqua" w:hAnsi="Book Antiqua"/>
        </w:rPr>
        <w:t>c</w:t>
      </w:r>
      <w:r w:rsidR="00ED205F" w:rsidRPr="00AB168D">
        <w:rPr>
          <w:rFonts w:ascii="Book Antiqua" w:hAnsi="Book Antiqua"/>
        </w:rPr>
        <w:t xml:space="preserve">omunale una quota, fino al massimo di un terzo dello stipendio in godimento, dei diritti di rogito riscossi dall’ente. </w:t>
      </w:r>
    </w:p>
    <w:p w:rsidR="00ED205F" w:rsidRPr="006161CE" w:rsidRDefault="007E7443" w:rsidP="00AB168D">
      <w:pPr>
        <w:widowControl w:val="0"/>
        <w:spacing w:after="100" w:line="340" w:lineRule="exact"/>
        <w:ind w:firstLine="0"/>
        <w:jc w:val="both"/>
        <w:rPr>
          <w:rFonts w:ascii="Book Antiqua" w:hAnsi="Book Antiqua"/>
        </w:rPr>
      </w:pPr>
      <w:r w:rsidRPr="00AB168D">
        <w:rPr>
          <w:rFonts w:ascii="Book Antiqua" w:hAnsi="Book Antiqua"/>
        </w:rPr>
        <w:lastRenderedPageBreak/>
        <w:t xml:space="preserve">Successivamente, il </w:t>
      </w:r>
      <w:proofErr w:type="spellStart"/>
      <w:r w:rsidRPr="00AB168D">
        <w:rPr>
          <w:rFonts w:ascii="Book Antiqua" w:hAnsi="Book Antiqua"/>
        </w:rPr>
        <w:t>d.l</w:t>
      </w:r>
      <w:r w:rsidR="00ED205F" w:rsidRPr="00AB168D">
        <w:rPr>
          <w:rFonts w:ascii="Book Antiqua" w:hAnsi="Book Antiqua"/>
        </w:rPr>
        <w:t>.</w:t>
      </w:r>
      <w:proofErr w:type="spellEnd"/>
      <w:r w:rsidR="00ED205F" w:rsidRPr="00AB168D">
        <w:rPr>
          <w:rFonts w:ascii="Book Antiqua" w:hAnsi="Book Antiqua"/>
        </w:rPr>
        <w:t xml:space="preserve"> n. 90/2014 ha abrogato tale disposizione e, all’art. 10, comma 2, ha statuito che il provento annuale dei</w:t>
      </w:r>
      <w:r w:rsidR="00ED205F" w:rsidRPr="006161CE">
        <w:rPr>
          <w:rFonts w:ascii="Book Antiqua" w:hAnsi="Book Antiqua"/>
        </w:rPr>
        <w:t xml:space="preserve"> diritti di segreteria (di rogito) fosse attribuito integralmente al Comune o alla Provincia senza destinare alcuna quota al Segretario Comunale. </w:t>
      </w:r>
    </w:p>
    <w:p w:rsidR="00ED205F" w:rsidRPr="006161CE" w:rsidRDefault="00ED205F" w:rsidP="00E32AFE">
      <w:pPr>
        <w:widowControl w:val="0"/>
        <w:spacing w:after="100" w:line="340" w:lineRule="exact"/>
        <w:ind w:firstLine="0"/>
        <w:jc w:val="both"/>
        <w:rPr>
          <w:rFonts w:ascii="Book Antiqua" w:hAnsi="Book Antiqua"/>
        </w:rPr>
      </w:pPr>
      <w:r w:rsidRPr="006161CE">
        <w:rPr>
          <w:rFonts w:ascii="Book Antiqua" w:hAnsi="Book Antiqua"/>
        </w:rPr>
        <w:t xml:space="preserve">In sede di conversione in legge del </w:t>
      </w:r>
      <w:proofErr w:type="spellStart"/>
      <w:r w:rsidRPr="006161CE">
        <w:rPr>
          <w:rFonts w:ascii="Book Antiqua" w:hAnsi="Book Antiqua"/>
        </w:rPr>
        <w:t>d.l.</w:t>
      </w:r>
      <w:proofErr w:type="spellEnd"/>
      <w:r w:rsidRPr="006161CE">
        <w:rPr>
          <w:rFonts w:ascii="Book Antiqua" w:hAnsi="Book Antiqua"/>
        </w:rPr>
        <w:t xml:space="preserve"> n. 90/2014, il Parlamento ne ha modificato il contenuto aggiungendo all’art. 10 il comma 2</w:t>
      </w:r>
      <w:r w:rsidRPr="006161CE">
        <w:rPr>
          <w:rFonts w:ascii="Book Antiqua" w:hAnsi="Book Antiqua"/>
          <w:i/>
        </w:rPr>
        <w:t>-bis</w:t>
      </w:r>
      <w:r w:rsidRPr="006161CE">
        <w:rPr>
          <w:rFonts w:ascii="Book Antiqua" w:hAnsi="Book Antiqua"/>
        </w:rPr>
        <w:t xml:space="preserve"> che testualmente recita: “</w:t>
      </w:r>
      <w:r w:rsidRPr="006161CE">
        <w:rPr>
          <w:rFonts w:ascii="Book Antiqua" w:hAnsi="Book Antiqua"/>
          <w:i/>
        </w:rPr>
        <w:t>negli enti locali privi di dipendenti con qualifica dirigenziale, e comunque a tutti i Segretari Comunali che non hanno qualifica dirigenziale, una quota del provento annuale spettante al comune ai sensi dell'articolo 30, secondo comma, della legge 15 novembre 1973, n. 734, come sostituito dal comma 2 del presente articolo, per gli atti di cui ai numeri 1, 2, 3, 4 e 5 della tabella D</w:t>
      </w:r>
      <w:r w:rsidRPr="006161CE">
        <w:rPr>
          <w:rFonts w:ascii="Book Antiqua" w:hAnsi="Book Antiqua"/>
        </w:rPr>
        <w:t xml:space="preserve"> </w:t>
      </w:r>
      <w:r w:rsidRPr="006161CE">
        <w:rPr>
          <w:rFonts w:ascii="Book Antiqua" w:hAnsi="Book Antiqua"/>
          <w:i/>
        </w:rPr>
        <w:t>allegata alla legge 8 giugno 1962, n. 604, e successive modificazioni, è attribuita al Segretario Comunale rogante, in misura non superiore a un quinto dello stipendio in godimento</w:t>
      </w:r>
      <w:r w:rsidRPr="006161CE">
        <w:rPr>
          <w:rFonts w:ascii="Book Antiqua" w:hAnsi="Book Antiqua"/>
        </w:rPr>
        <w:t>”.</w:t>
      </w:r>
    </w:p>
    <w:p w:rsidR="00ED205F" w:rsidRPr="006161CE" w:rsidRDefault="00AB168D" w:rsidP="00E32AFE">
      <w:pPr>
        <w:widowControl w:val="0"/>
        <w:spacing w:after="100" w:line="340" w:lineRule="exact"/>
        <w:ind w:firstLine="0"/>
        <w:jc w:val="both"/>
        <w:rPr>
          <w:rFonts w:ascii="Book Antiqua" w:hAnsi="Book Antiqua"/>
        </w:rPr>
      </w:pPr>
      <w:r>
        <w:rPr>
          <w:rFonts w:ascii="Book Antiqua" w:hAnsi="Book Antiqua"/>
        </w:rPr>
        <w:t>3</w:t>
      </w:r>
      <w:r w:rsidR="0063359F" w:rsidRPr="006161CE">
        <w:rPr>
          <w:rFonts w:ascii="Book Antiqua" w:hAnsi="Book Antiqua"/>
        </w:rPr>
        <w:t>. La formulazione letterale della disposizione ha generato incertezze applicative concernenti la corretta individuazione dell’ambito applicati</w:t>
      </w:r>
      <w:r w:rsidR="002F4F97">
        <w:rPr>
          <w:rFonts w:ascii="Book Antiqua" w:hAnsi="Book Antiqua"/>
        </w:rPr>
        <w:t xml:space="preserve">vo in relazione al significato </w:t>
      </w:r>
      <w:r w:rsidR="0063359F" w:rsidRPr="006161CE">
        <w:rPr>
          <w:rFonts w:ascii="Book Antiqua" w:hAnsi="Book Antiqua"/>
        </w:rPr>
        <w:t>della locuzione “</w:t>
      </w:r>
      <w:r w:rsidR="0063359F" w:rsidRPr="006161CE">
        <w:rPr>
          <w:rFonts w:ascii="Book Antiqua" w:hAnsi="Book Antiqua"/>
          <w:i/>
        </w:rPr>
        <w:t xml:space="preserve">negli enti locali privi </w:t>
      </w:r>
      <w:r w:rsidR="0063359F" w:rsidRPr="00EE65C8">
        <w:rPr>
          <w:rFonts w:ascii="Book Antiqua" w:hAnsi="Book Antiqua"/>
          <w:i/>
        </w:rPr>
        <w:t>di dipendenti con qualifica dirigenziale”</w:t>
      </w:r>
      <w:r w:rsidR="0063359F" w:rsidRPr="00EE65C8">
        <w:rPr>
          <w:rFonts w:ascii="Book Antiqua" w:hAnsi="Book Antiqua"/>
        </w:rPr>
        <w:t xml:space="preserve">; incertezze che hanno originato richieste di parere ad alcune </w:t>
      </w:r>
      <w:r w:rsidR="007E7443" w:rsidRPr="00EE65C8">
        <w:rPr>
          <w:rFonts w:ascii="Book Antiqua" w:hAnsi="Book Antiqua"/>
        </w:rPr>
        <w:t>S</w:t>
      </w:r>
      <w:r w:rsidR="0063359F" w:rsidRPr="00EE65C8">
        <w:rPr>
          <w:rFonts w:ascii="Book Antiqua" w:hAnsi="Book Antiqua"/>
        </w:rPr>
        <w:t xml:space="preserve">ezioni regionali di controllo che si sono pronunciate in direzioni diverse. </w:t>
      </w:r>
      <w:r w:rsidR="00ED205F" w:rsidRPr="00EE65C8">
        <w:rPr>
          <w:rFonts w:ascii="Book Antiqua" w:hAnsi="Book Antiqua"/>
        </w:rPr>
        <w:t>Secondo un primo</w:t>
      </w:r>
      <w:r w:rsidR="00ED205F" w:rsidRPr="006161CE">
        <w:rPr>
          <w:rFonts w:ascii="Book Antiqua" w:hAnsi="Book Antiqua"/>
        </w:rPr>
        <w:t xml:space="preserve"> orientamento, (deliberazione n. 21/2015/PAR del 19 dicembre 2014 della Corte dei conti – Sez. Lazio e deliberazione n. 105/2015/PAR del 27 maggio 2015 della Corte dei conti – Sez. Emilia Romagna) i diritti di rogito, in difetto di specifica regolamentazione nell’ambito del CCNL di categoria successivo alla riforma dell’art. 10 comma 2</w:t>
      </w:r>
      <w:r w:rsidR="00ED205F" w:rsidRPr="006161CE">
        <w:rPr>
          <w:rFonts w:ascii="Book Antiqua" w:hAnsi="Book Antiqua"/>
          <w:i/>
        </w:rPr>
        <w:t>-bis</w:t>
      </w:r>
      <w:r w:rsidR="00ED205F" w:rsidRPr="006161CE">
        <w:rPr>
          <w:rFonts w:ascii="Book Antiqua" w:hAnsi="Book Antiqua"/>
        </w:rPr>
        <w:t xml:space="preserve"> del </w:t>
      </w:r>
      <w:proofErr w:type="spellStart"/>
      <w:r w:rsidR="00ED205F" w:rsidRPr="006161CE">
        <w:rPr>
          <w:rFonts w:ascii="Book Antiqua" w:hAnsi="Book Antiqua"/>
        </w:rPr>
        <w:t>d.l.</w:t>
      </w:r>
      <w:proofErr w:type="spellEnd"/>
      <w:r w:rsidR="00ED205F" w:rsidRPr="006161CE">
        <w:rPr>
          <w:rFonts w:ascii="Book Antiqua" w:hAnsi="Book Antiqua"/>
        </w:rPr>
        <w:t xml:space="preserve"> n. 90/2014, sono assegnati al 100% ai soli Segretari appartenenti alla categoria (fascia) C; non spettano invece ai Segretari delle fasce A e B. Tanto seguendo l’argomentazione per cui il legislatore del 2014 avrebbe affermato “</w:t>
      </w:r>
      <w:r w:rsidR="00ED205F" w:rsidRPr="006161CE">
        <w:rPr>
          <w:rFonts w:ascii="Book Antiqua" w:hAnsi="Book Antiqua"/>
          <w:i/>
        </w:rPr>
        <w:t xml:space="preserve">il principio dell’integrale destinazione delle entrate comunali al bilancio dell’ente e quello dell’onnicomprensività del trattamento economico dei Segretari, abrogando il precedente regime normativo </w:t>
      </w:r>
      <w:r w:rsidR="00ED205F" w:rsidRPr="002F4F97">
        <w:rPr>
          <w:rFonts w:ascii="Book Antiqua" w:hAnsi="Book Antiqua"/>
          <w:i/>
        </w:rPr>
        <w:t xml:space="preserve">che prevedeva la riserva agli stessi del diritto di rogito, o di quota del medesimo. L’unica deroga consentita” </w:t>
      </w:r>
      <w:r w:rsidR="00ED205F" w:rsidRPr="002F4F97">
        <w:rPr>
          <w:rFonts w:ascii="Book Antiqua" w:hAnsi="Book Antiqua"/>
        </w:rPr>
        <w:t>sarebbe</w:t>
      </w:r>
      <w:r w:rsidR="00ED205F" w:rsidRPr="002F4F97">
        <w:rPr>
          <w:rFonts w:ascii="Book Antiqua" w:hAnsi="Book Antiqua"/>
          <w:i/>
        </w:rPr>
        <w:t xml:space="preserve"> </w:t>
      </w:r>
      <w:r w:rsidR="00ED205F" w:rsidRPr="002F4F97">
        <w:rPr>
          <w:rFonts w:ascii="Book Antiqua" w:hAnsi="Book Antiqua"/>
        </w:rPr>
        <w:t>quella</w:t>
      </w:r>
      <w:r w:rsidR="00ED205F" w:rsidRPr="002F4F97">
        <w:rPr>
          <w:rFonts w:ascii="Book Antiqua" w:hAnsi="Book Antiqua"/>
          <w:i/>
        </w:rPr>
        <w:t xml:space="preserve"> “volta a tutelare i Segretari Comunali che non abbiano qualifica dirigenziale e non operino in comuni con</w:t>
      </w:r>
      <w:r w:rsidR="00ED205F" w:rsidRPr="006161CE">
        <w:rPr>
          <w:rFonts w:ascii="Book Antiqua" w:hAnsi="Book Antiqua"/>
          <w:i/>
        </w:rPr>
        <w:t xml:space="preserve"> presenza di dirigenti e quindi non siano destinatari di retribuzione economica a questi equiparata</w:t>
      </w:r>
      <w:r w:rsidR="00ED205F" w:rsidRPr="006161CE">
        <w:rPr>
          <w:rFonts w:ascii="Book Antiqua" w:hAnsi="Book Antiqua"/>
        </w:rPr>
        <w:t xml:space="preserve">”. (cfr. Corte dei conti – Sez. Emilia Romagna, </w:t>
      </w:r>
      <w:r w:rsidR="00ED205F" w:rsidRPr="002F4F97">
        <w:rPr>
          <w:rFonts w:ascii="Book Antiqua" w:hAnsi="Book Antiqua"/>
        </w:rPr>
        <w:t>deliberazione n. 105/2015/PAR del 27 maggio 2</w:t>
      </w:r>
      <w:r w:rsidR="00810C77" w:rsidRPr="002F4F97">
        <w:rPr>
          <w:rFonts w:ascii="Book Antiqua" w:hAnsi="Book Antiqua"/>
        </w:rPr>
        <w:t xml:space="preserve">015). Nello stesso senso </w:t>
      </w:r>
      <w:r w:rsidR="00921EE2" w:rsidRPr="002F4F97">
        <w:rPr>
          <w:rFonts w:ascii="Book Antiqua" w:hAnsi="Book Antiqua"/>
        </w:rPr>
        <w:t xml:space="preserve">si era già espressa </w:t>
      </w:r>
      <w:r w:rsidR="007E7443" w:rsidRPr="002F4F97">
        <w:rPr>
          <w:rFonts w:ascii="Book Antiqua" w:hAnsi="Book Antiqua"/>
        </w:rPr>
        <w:t>la S</w:t>
      </w:r>
      <w:r w:rsidR="00921EE2" w:rsidRPr="002F4F97">
        <w:rPr>
          <w:rFonts w:ascii="Book Antiqua" w:hAnsi="Book Antiqua"/>
        </w:rPr>
        <w:t xml:space="preserve">ezione regionale di controllo Lazio con </w:t>
      </w:r>
      <w:r w:rsidR="00ED205F" w:rsidRPr="002F4F97">
        <w:rPr>
          <w:rFonts w:ascii="Book Antiqua" w:hAnsi="Book Antiqua"/>
        </w:rPr>
        <w:t>la deliberazione n. 21/2015/PAR del 19 dicembre</w:t>
      </w:r>
      <w:r w:rsidR="00ED205F" w:rsidRPr="006161CE">
        <w:rPr>
          <w:rFonts w:ascii="Book Antiqua" w:hAnsi="Book Antiqua"/>
        </w:rPr>
        <w:t xml:space="preserve"> 2014 </w:t>
      </w:r>
      <w:r w:rsidR="00921EE2" w:rsidRPr="006161CE">
        <w:rPr>
          <w:rFonts w:ascii="Book Antiqua" w:hAnsi="Book Antiqua"/>
        </w:rPr>
        <w:t xml:space="preserve">secondo la quale </w:t>
      </w:r>
      <w:r w:rsidR="00ED205F" w:rsidRPr="006161CE">
        <w:rPr>
          <w:rFonts w:ascii="Book Antiqua" w:hAnsi="Book Antiqua"/>
        </w:rPr>
        <w:t>“</w:t>
      </w:r>
      <w:r w:rsidR="00ED205F" w:rsidRPr="006161CE">
        <w:rPr>
          <w:rFonts w:ascii="Book Antiqua" w:hAnsi="Book Antiqua"/>
          <w:i/>
        </w:rPr>
        <w:t>il diritto di rogito competa esclusivamente ai Segretari di comuni di piccole dimensioni collocati in fascia C mentre non spetti ai Segretari che godono di equiparazione alla dirigenza, sia essa assicurata dalla appartenenza alle fasce A e B, sia essa un effetto del galleggiamento in ipotesi di titolarità di enti locali privi di dipendenti con qualifica dirigenziale</w:t>
      </w:r>
      <w:r w:rsidR="00ED205F" w:rsidRPr="006161CE">
        <w:rPr>
          <w:rFonts w:ascii="Book Antiqua" w:hAnsi="Book Antiqua"/>
        </w:rPr>
        <w:t>”.</w:t>
      </w:r>
    </w:p>
    <w:p w:rsidR="00ED205F" w:rsidRPr="00835BF8" w:rsidRDefault="00ED205F" w:rsidP="00E32AFE">
      <w:pPr>
        <w:widowControl w:val="0"/>
        <w:spacing w:after="100" w:line="340" w:lineRule="exact"/>
        <w:ind w:firstLine="0"/>
        <w:jc w:val="both"/>
        <w:rPr>
          <w:rFonts w:ascii="Book Antiqua" w:hAnsi="Book Antiqua"/>
          <w:strike/>
        </w:rPr>
      </w:pPr>
      <w:r w:rsidRPr="006161CE">
        <w:rPr>
          <w:rFonts w:ascii="Book Antiqua" w:hAnsi="Book Antiqua"/>
        </w:rPr>
        <w:t>Secondo un diverso orientamento, seguendo un’interpretazione letterale dell’art. 10, comma 2</w:t>
      </w:r>
      <w:r w:rsidRPr="006161CE">
        <w:rPr>
          <w:rFonts w:ascii="Book Antiqua" w:hAnsi="Book Antiqua"/>
          <w:i/>
        </w:rPr>
        <w:t>-bis</w:t>
      </w:r>
      <w:r w:rsidRPr="006161CE">
        <w:rPr>
          <w:rFonts w:ascii="Book Antiqua" w:hAnsi="Book Antiqua"/>
        </w:rPr>
        <w:t xml:space="preserve">, del </w:t>
      </w:r>
      <w:proofErr w:type="spellStart"/>
      <w:r w:rsidRPr="006161CE">
        <w:rPr>
          <w:rFonts w:ascii="Book Antiqua" w:hAnsi="Book Antiqua"/>
        </w:rPr>
        <w:t>d.l.</w:t>
      </w:r>
      <w:proofErr w:type="spellEnd"/>
      <w:r w:rsidRPr="006161CE">
        <w:rPr>
          <w:rFonts w:ascii="Book Antiqua" w:hAnsi="Book Antiqua"/>
        </w:rPr>
        <w:t xml:space="preserve"> n. 90/2014 i diritti di rogito spetterebbero ai Segretari di qualunque fascia, purché prestino servizio in enti senza dirigenti (cfr. Corte dei conti – Sez. Lombardia, deliberazioni n. 275/2014/PAR del 29 ottobre 2014, n. 297/2014/PAR del 13 novembre 2014, n. 171/2015/PAR del 24 aprile 2015 ed, infine, n. 189/2015/PAR del 5 maggio 2015; </w:t>
      </w:r>
      <w:r w:rsidRPr="006161CE">
        <w:rPr>
          <w:rFonts w:ascii="Book Antiqua" w:hAnsi="Book Antiqua"/>
        </w:rPr>
        <w:lastRenderedPageBreak/>
        <w:t>cfr. altresì Corte dei conti – Sez. Sicilia, deliberazione n. 194/2014/PAR del 14 novembre 2014). “</w:t>
      </w:r>
      <w:r w:rsidRPr="006161CE">
        <w:rPr>
          <w:rFonts w:ascii="Book Antiqua" w:hAnsi="Book Antiqua"/>
          <w:i/>
        </w:rPr>
        <w:t>La norma, infatti, prevede e distingue le due ipotesi legittimanti l’erogazione di quota dei proventi. La prima, quella dei Segretari preposti a Comuni privi di personale con qualifica dirigenziale, fattispecie in cui non ritiene rilevante la fascia professionale in cui è inquadrato il Segretario preposto. La seconda, quella dei Segretari che non hanno qualifica dirigenziale, in cui àncora l’attribuzione di quota dei diritti di rogito allo status professionale del Segretario preposto, prescindendo dalla classe demografica del comune di assegnazione. Si ritiene, pertanto, non rilevante, ai fini del dubbio interpretativo posto dal Comune istante, la valutazione dell’assimilazione dei Segretari Comunali e Provinciali al personale con qualifica dirigenziale, operazione ermeneutica da condurre alla luce della disciplina posta dalla vigente contrattazione collettiva nazionale (in cui rilevano gli artt. 31 e 32 del CCNL del 16/05/2001)</w:t>
      </w:r>
      <w:r w:rsidRPr="006161CE">
        <w:rPr>
          <w:rFonts w:ascii="Book Antiqua" w:hAnsi="Book Antiqua"/>
        </w:rPr>
        <w:t>”.</w:t>
      </w:r>
    </w:p>
    <w:p w:rsidR="00ED205F" w:rsidRPr="006161CE" w:rsidRDefault="00835BF8" w:rsidP="00E32AFE">
      <w:pPr>
        <w:widowControl w:val="0"/>
        <w:spacing w:after="100" w:line="340" w:lineRule="exact"/>
        <w:ind w:firstLine="0"/>
        <w:jc w:val="both"/>
        <w:rPr>
          <w:rFonts w:ascii="Book Antiqua" w:hAnsi="Book Antiqua"/>
        </w:rPr>
      </w:pPr>
      <w:r w:rsidRPr="002F4F97">
        <w:rPr>
          <w:rFonts w:ascii="Book Antiqua" w:hAnsi="Book Antiqua"/>
        </w:rPr>
        <w:t xml:space="preserve">Questa </w:t>
      </w:r>
      <w:r w:rsidR="00ED205F" w:rsidRPr="002F4F97">
        <w:rPr>
          <w:rFonts w:ascii="Book Antiqua" w:hAnsi="Book Antiqua"/>
        </w:rPr>
        <w:t xml:space="preserve">Sezione, con deliberazione numero 21/SEZAUT/2015/QMIG del 04.06.2015 ha </w:t>
      </w:r>
      <w:r w:rsidR="00921EE2" w:rsidRPr="002F4F97">
        <w:rPr>
          <w:rFonts w:ascii="Book Antiqua" w:hAnsi="Book Antiqua"/>
        </w:rPr>
        <w:t xml:space="preserve">risolto la questione di massima posta sullo specifico punto di diritto in argomento, enunciando il principio di diritto secondo il quale </w:t>
      </w:r>
      <w:r w:rsidR="00764F4A" w:rsidRPr="002F4F97">
        <w:rPr>
          <w:rFonts w:ascii="Book Antiqua" w:hAnsi="Book Antiqua"/>
        </w:rPr>
        <w:t>“…</w:t>
      </w:r>
      <w:r w:rsidR="00ED205F" w:rsidRPr="002F4F97">
        <w:rPr>
          <w:rFonts w:ascii="Book Antiqua" w:hAnsi="Book Antiqua"/>
          <w:i/>
        </w:rPr>
        <w:t>i diritti di rogito</w:t>
      </w:r>
      <w:r w:rsidR="00764F4A" w:rsidRPr="002F4F97">
        <w:rPr>
          <w:rFonts w:ascii="Book Antiqua" w:hAnsi="Book Antiqua"/>
          <w:i/>
        </w:rPr>
        <w:t xml:space="preserve"> competono ai soli segretari di fascia C</w:t>
      </w:r>
      <w:r w:rsidR="00764F4A" w:rsidRPr="002F4F97">
        <w:rPr>
          <w:rFonts w:ascii="Book Antiqua" w:hAnsi="Book Antiqua"/>
        </w:rPr>
        <w:t>”</w:t>
      </w:r>
      <w:r w:rsidR="002F4F97" w:rsidRPr="002F4F97">
        <w:rPr>
          <w:rFonts w:ascii="Book Antiqua" w:hAnsi="Book Antiqua"/>
        </w:rPr>
        <w:t>.</w:t>
      </w:r>
      <w:r w:rsidR="00B90CAB">
        <w:rPr>
          <w:rFonts w:ascii="Book Antiqua" w:hAnsi="Book Antiqua"/>
        </w:rPr>
        <w:t xml:space="preserve"> </w:t>
      </w:r>
      <w:r w:rsidRPr="002F4F97">
        <w:rPr>
          <w:rFonts w:ascii="Book Antiqua" w:hAnsi="Book Antiqua"/>
        </w:rPr>
        <w:t xml:space="preserve">Questa </w:t>
      </w:r>
      <w:r w:rsidR="00ED205F" w:rsidRPr="002F4F97">
        <w:rPr>
          <w:rFonts w:ascii="Book Antiqua" w:hAnsi="Book Antiqua"/>
        </w:rPr>
        <w:t>Sezione</w:t>
      </w:r>
      <w:r w:rsidR="00764F4A" w:rsidRPr="002F4F97">
        <w:rPr>
          <w:rFonts w:ascii="Book Antiqua" w:hAnsi="Book Antiqua"/>
        </w:rPr>
        <w:t xml:space="preserve"> centrale della Corte ha posto a fondamento di tale decisione la</w:t>
      </w:r>
      <w:r w:rsidR="00764F4A" w:rsidRPr="002F4F97">
        <w:rPr>
          <w:rFonts w:ascii="Book Antiqua" w:hAnsi="Book Antiqua"/>
          <w:i/>
        </w:rPr>
        <w:t xml:space="preserve"> ratio </w:t>
      </w:r>
      <w:r w:rsidR="00764F4A" w:rsidRPr="002F4F97">
        <w:rPr>
          <w:rFonts w:ascii="Book Antiqua" w:hAnsi="Book Antiqua"/>
        </w:rPr>
        <w:t>della disposizione</w:t>
      </w:r>
      <w:r w:rsidR="00764F4A" w:rsidRPr="006161CE">
        <w:rPr>
          <w:rFonts w:ascii="Book Antiqua" w:hAnsi="Book Antiqua"/>
        </w:rPr>
        <w:t xml:space="preserve"> individuata in</w:t>
      </w:r>
      <w:r w:rsidR="00ED205F" w:rsidRPr="006161CE">
        <w:rPr>
          <w:rFonts w:ascii="Book Antiqua" w:hAnsi="Book Antiqua"/>
        </w:rPr>
        <w:t xml:space="preserve"> un contemperamento di interessi “</w:t>
      </w:r>
      <w:r w:rsidR="00ED205F" w:rsidRPr="006161CE">
        <w:rPr>
          <w:rFonts w:ascii="Book Antiqua" w:hAnsi="Book Antiqua"/>
          <w:i/>
        </w:rPr>
        <w:t>che, a fronte delle esigenze di maggiori entrate degli enti</w:t>
      </w:r>
      <w:r w:rsidR="00764F4A" w:rsidRPr="006161CE">
        <w:rPr>
          <w:rFonts w:ascii="Book Antiqua" w:hAnsi="Book Antiqua"/>
          <w:i/>
        </w:rPr>
        <w:t xml:space="preserve"> </w:t>
      </w:r>
      <w:r w:rsidR="00764F4A" w:rsidRPr="006161CE">
        <w:rPr>
          <w:rFonts w:ascii="Book Antiqua" w:hAnsi="Book Antiqua"/>
        </w:rPr>
        <w:t>(soddisfatta dalla totale devoluzione dei proventi da rogito all’ente)</w:t>
      </w:r>
      <w:r w:rsidR="00ED205F" w:rsidRPr="006161CE">
        <w:rPr>
          <w:rFonts w:ascii="Book Antiqua" w:hAnsi="Book Antiqua"/>
          <w:i/>
        </w:rPr>
        <w:t>, vede recessivo quello particolare del segretario comunale, fatta salva l’ipotesi della fascia professionale e della condizione economica che meno garantisca il singolo segretario a livello retributivo</w:t>
      </w:r>
      <w:r w:rsidR="00ED205F" w:rsidRPr="006161CE">
        <w:rPr>
          <w:rFonts w:ascii="Book Antiqua" w:hAnsi="Book Antiqua"/>
        </w:rPr>
        <w:t>”.</w:t>
      </w:r>
    </w:p>
    <w:p w:rsidR="00ED205F" w:rsidRPr="006161CE" w:rsidRDefault="00764F4A" w:rsidP="00E32AFE">
      <w:pPr>
        <w:widowControl w:val="0"/>
        <w:spacing w:after="100" w:line="340" w:lineRule="exact"/>
        <w:ind w:firstLine="0"/>
        <w:jc w:val="both"/>
        <w:rPr>
          <w:rFonts w:ascii="Book Antiqua" w:hAnsi="Book Antiqua"/>
        </w:rPr>
      </w:pPr>
      <w:r w:rsidRPr="00632457">
        <w:rPr>
          <w:rFonts w:ascii="Book Antiqua" w:hAnsi="Book Antiqua"/>
          <w:spacing w:val="-2"/>
        </w:rPr>
        <w:t xml:space="preserve">4. </w:t>
      </w:r>
      <w:r w:rsidR="00FA76BF" w:rsidRPr="00632457">
        <w:rPr>
          <w:rFonts w:ascii="Book Antiqua" w:hAnsi="Book Antiqua"/>
          <w:spacing w:val="-2"/>
        </w:rPr>
        <w:t>La questione della spettanza, o meno, ai segretari di fascia A e B dei diritti di rogito - nei limiti ed alle condizioni previste dal richiamato comma 2</w:t>
      </w:r>
      <w:r w:rsidR="00FA76BF" w:rsidRPr="00632457">
        <w:rPr>
          <w:rFonts w:ascii="Book Antiqua" w:hAnsi="Book Antiqua"/>
          <w:i/>
          <w:spacing w:val="-2"/>
        </w:rPr>
        <w:t>-bis</w:t>
      </w:r>
      <w:r w:rsidR="002F4F97" w:rsidRPr="00632457">
        <w:rPr>
          <w:rFonts w:ascii="Book Antiqua" w:hAnsi="Book Antiqua"/>
          <w:spacing w:val="-2"/>
        </w:rPr>
        <w:t xml:space="preserve"> </w:t>
      </w:r>
      <w:r w:rsidR="00F50330" w:rsidRPr="00632457">
        <w:rPr>
          <w:rFonts w:ascii="Book Antiqua" w:hAnsi="Book Antiqua"/>
          <w:spacing w:val="-2"/>
        </w:rPr>
        <w:t>-</w:t>
      </w:r>
      <w:r w:rsidR="00FA76BF" w:rsidRPr="00632457">
        <w:rPr>
          <w:rFonts w:ascii="Book Antiqua" w:hAnsi="Book Antiqua"/>
          <w:spacing w:val="-2"/>
        </w:rPr>
        <w:t>, è stata azionata in sede civile da alcuni segretari comunali. L’esito comune a tutti i ricorsi a</w:t>
      </w:r>
      <w:r w:rsidR="00ED205F" w:rsidRPr="00632457">
        <w:rPr>
          <w:rFonts w:ascii="Book Antiqua" w:hAnsi="Book Antiqua"/>
          <w:spacing w:val="-2"/>
        </w:rPr>
        <w:t>l Giudice ordinario in veste di Giudice del lavoro</w:t>
      </w:r>
      <w:r w:rsidR="00FA76BF" w:rsidRPr="00632457">
        <w:rPr>
          <w:rFonts w:ascii="Book Antiqua" w:hAnsi="Book Antiqua"/>
          <w:spacing w:val="-2"/>
        </w:rPr>
        <w:t xml:space="preserve"> </w:t>
      </w:r>
      <w:r w:rsidR="00ED205F" w:rsidRPr="00632457">
        <w:rPr>
          <w:rFonts w:ascii="Book Antiqua" w:hAnsi="Book Antiqua"/>
          <w:spacing w:val="-2"/>
        </w:rPr>
        <w:t>è</w:t>
      </w:r>
      <w:r w:rsidR="00FA76BF" w:rsidRPr="00632457">
        <w:rPr>
          <w:rFonts w:ascii="Book Antiqua" w:hAnsi="Book Antiqua"/>
          <w:spacing w:val="-2"/>
        </w:rPr>
        <w:t xml:space="preserve"> stato quello di un riconoscimento di tale diritto. Detto giudice</w:t>
      </w:r>
      <w:r w:rsidR="00F50330" w:rsidRPr="00632457">
        <w:rPr>
          <w:rFonts w:ascii="Book Antiqua" w:hAnsi="Book Antiqua"/>
          <w:spacing w:val="-2"/>
        </w:rPr>
        <w:t>,</w:t>
      </w:r>
      <w:r w:rsidR="00ED205F" w:rsidRPr="00632457">
        <w:rPr>
          <w:rFonts w:ascii="Book Antiqua" w:hAnsi="Book Antiqua"/>
          <w:spacing w:val="-2"/>
        </w:rPr>
        <w:t xml:space="preserve"> attenendosi al dato letterale della norma e alla </w:t>
      </w:r>
      <w:r w:rsidR="00ED205F" w:rsidRPr="00632457">
        <w:rPr>
          <w:rFonts w:ascii="Book Antiqua" w:hAnsi="Book Antiqua"/>
          <w:i/>
          <w:spacing w:val="-2"/>
        </w:rPr>
        <w:t>ratio</w:t>
      </w:r>
      <w:r w:rsidR="00ED205F" w:rsidRPr="00632457">
        <w:rPr>
          <w:rFonts w:ascii="Book Antiqua" w:hAnsi="Book Antiqua"/>
          <w:spacing w:val="-2"/>
        </w:rPr>
        <w:t xml:space="preserve"> della stessa (</w:t>
      </w:r>
      <w:r w:rsidR="00FA76BF" w:rsidRPr="00632457">
        <w:rPr>
          <w:rFonts w:ascii="Book Antiqua" w:hAnsi="Book Antiqua"/>
          <w:spacing w:val="-2"/>
        </w:rPr>
        <w:t>perequativa</w:t>
      </w:r>
      <w:r w:rsidR="00564DC6" w:rsidRPr="00632457">
        <w:rPr>
          <w:rFonts w:ascii="Book Antiqua" w:hAnsi="Book Antiqua"/>
          <w:spacing w:val="-2"/>
        </w:rPr>
        <w:t>,</w:t>
      </w:r>
      <w:r w:rsidR="00FA76BF" w:rsidRPr="00632457">
        <w:rPr>
          <w:rFonts w:ascii="Book Antiqua" w:hAnsi="Book Antiqua"/>
          <w:spacing w:val="-2"/>
        </w:rPr>
        <w:t xml:space="preserve"> per</w:t>
      </w:r>
      <w:r w:rsidR="00ED205F" w:rsidRPr="00632457">
        <w:rPr>
          <w:rFonts w:ascii="Book Antiqua" w:hAnsi="Book Antiqua"/>
          <w:spacing w:val="-2"/>
        </w:rPr>
        <w:t xml:space="preserve"> il segretario di fascia C</w:t>
      </w:r>
      <w:r w:rsidR="00564DC6" w:rsidRPr="00632457">
        <w:rPr>
          <w:rFonts w:ascii="Book Antiqua" w:hAnsi="Book Antiqua"/>
          <w:spacing w:val="-2"/>
        </w:rPr>
        <w:t>;</w:t>
      </w:r>
      <w:r w:rsidR="002F4F97" w:rsidRPr="00632457">
        <w:rPr>
          <w:rFonts w:ascii="Book Antiqua" w:hAnsi="Book Antiqua"/>
          <w:spacing w:val="-2"/>
        </w:rPr>
        <w:t xml:space="preserve"> </w:t>
      </w:r>
      <w:r w:rsidR="00564DC6" w:rsidRPr="00632457">
        <w:rPr>
          <w:rFonts w:ascii="Book Antiqua" w:hAnsi="Book Antiqua"/>
          <w:spacing w:val="-2"/>
        </w:rPr>
        <w:t>sostanzialmente recuperatoria rispetto alle potenziali spettanze ricono</w:t>
      </w:r>
      <w:r w:rsidR="00B90CAB" w:rsidRPr="00632457">
        <w:rPr>
          <w:rFonts w:ascii="Book Antiqua" w:hAnsi="Book Antiqua"/>
          <w:spacing w:val="-2"/>
        </w:rPr>
        <w:t xml:space="preserve">scibili in sedi con dirigenza, </w:t>
      </w:r>
      <w:r w:rsidR="00564DC6" w:rsidRPr="00632457">
        <w:rPr>
          <w:rFonts w:ascii="Book Antiqua" w:hAnsi="Book Antiqua"/>
          <w:spacing w:val="-2"/>
        </w:rPr>
        <w:t xml:space="preserve">per </w:t>
      </w:r>
      <w:r w:rsidR="00ED205F" w:rsidRPr="00632457">
        <w:rPr>
          <w:rFonts w:ascii="Book Antiqua" w:hAnsi="Book Antiqua"/>
          <w:spacing w:val="-2"/>
        </w:rPr>
        <w:t>gli altri Segretari,</w:t>
      </w:r>
      <w:r w:rsidR="00564DC6" w:rsidRPr="00632457">
        <w:rPr>
          <w:rFonts w:ascii="Book Antiqua" w:hAnsi="Book Antiqua"/>
          <w:spacing w:val="-2"/>
        </w:rPr>
        <w:t xml:space="preserve"> che</w:t>
      </w:r>
      <w:r w:rsidR="00ED205F" w:rsidRPr="00632457">
        <w:rPr>
          <w:rFonts w:ascii="Book Antiqua" w:hAnsi="Book Antiqua"/>
          <w:spacing w:val="-2"/>
        </w:rPr>
        <w:t xml:space="preserve"> operano all’interno di un ente in cui non vi sono dipend</w:t>
      </w:r>
      <w:r w:rsidR="00F50330" w:rsidRPr="00632457">
        <w:rPr>
          <w:rFonts w:ascii="Book Antiqua" w:hAnsi="Book Antiqua"/>
          <w:spacing w:val="-2"/>
        </w:rPr>
        <w:t>enti con funzioni dirigenziali)</w:t>
      </w:r>
      <w:r w:rsidR="00ED205F" w:rsidRPr="00632457">
        <w:rPr>
          <w:rFonts w:ascii="Book Antiqua" w:hAnsi="Book Antiqua"/>
          <w:spacing w:val="-2"/>
        </w:rPr>
        <w:t xml:space="preserve"> </w:t>
      </w:r>
      <w:r w:rsidR="00564DC6" w:rsidRPr="00632457">
        <w:rPr>
          <w:rFonts w:ascii="Book Antiqua" w:hAnsi="Book Antiqua"/>
          <w:spacing w:val="-2"/>
        </w:rPr>
        <w:t xml:space="preserve">ha ritenuto di individuare </w:t>
      </w:r>
      <w:r w:rsidR="00ED205F" w:rsidRPr="00632457">
        <w:rPr>
          <w:rFonts w:ascii="Book Antiqua" w:hAnsi="Book Antiqua"/>
          <w:spacing w:val="-2"/>
        </w:rPr>
        <w:t xml:space="preserve">due categorie di Segretari Comunali destinatari dei diritti di rogito: i Segretari privi di qualifica dirigenziale (ovvero quelli di fascia C) e i Segretari appartenenti alle altre due fasce superiori (A e B) a condizione che nell’ente locale di appartenenza non vi siano dipendenti con qualifica di dirigente. In tal senso Tribunale di Milano (sentenza n. 1539 del 18.05.2016), Tribunale di Brescia </w:t>
      </w:r>
      <w:r w:rsidR="00B41646" w:rsidRPr="00632457">
        <w:rPr>
          <w:rFonts w:ascii="Book Antiqua" w:hAnsi="Book Antiqua"/>
          <w:spacing w:val="-2"/>
        </w:rPr>
        <w:t xml:space="preserve">(sentenza n. 75 del 23.01.2017, </w:t>
      </w:r>
      <w:r w:rsidR="00ED205F" w:rsidRPr="00632457">
        <w:rPr>
          <w:rFonts w:ascii="Book Antiqua" w:hAnsi="Book Antiqua"/>
          <w:spacing w:val="-2"/>
        </w:rPr>
        <w:t>nonché Tribunale di Milano n. 2960 del 14 novembre 2017; Tribunale di Tivoli n. 1052 del 14 novembre 2017; Tribunale di Busto Arsizio n. 446 del 13 novembre 2017; Tribunale di Busto Arsizio n. 438 del 8 novembre 2017; Tribunale di Parma n. 250 del 26 ottobre 2017; Tribunale di Sassari n. 507 del 9 agosto 2017;</w:t>
      </w:r>
      <w:r w:rsidR="00B90CAB" w:rsidRPr="00632457">
        <w:rPr>
          <w:rFonts w:ascii="Book Antiqua" w:hAnsi="Book Antiqua"/>
          <w:spacing w:val="-2"/>
        </w:rPr>
        <w:t xml:space="preserve"> </w:t>
      </w:r>
      <w:r w:rsidR="00ED205F" w:rsidRPr="00632457">
        <w:rPr>
          <w:rFonts w:ascii="Book Antiqua" w:hAnsi="Book Antiqua"/>
          <w:spacing w:val="-2"/>
        </w:rPr>
        <w:t xml:space="preserve">Tribunale di Pordenone n. 77 e 78 del 18.07.2017; Tribunale di Milano n. 1386 del 26.06.2017; Corte di Appello di Brescia n. 47 del 18.05.2017; Tribunale di Busto Arsizio n. 307/2016; Tribunale di Taranto n. </w:t>
      </w:r>
      <w:r w:rsidR="00B90CAB" w:rsidRPr="00632457">
        <w:rPr>
          <w:rFonts w:ascii="Book Antiqua" w:hAnsi="Book Antiqua"/>
          <w:spacing w:val="-2"/>
        </w:rPr>
        <w:t>3</w:t>
      </w:r>
      <w:r w:rsidR="00ED205F" w:rsidRPr="00632457">
        <w:rPr>
          <w:rFonts w:ascii="Book Antiqua" w:hAnsi="Book Antiqua"/>
          <w:spacing w:val="-2"/>
        </w:rPr>
        <w:t>269/2016; Tribunale di Bergamo n. 762/2016; Tribunale di Brescia n. 1486 del 25.11.2016; Tribunale di Verona n. 23 del 26.01.2017; Tribunale di Monza n. 46/2017)</w:t>
      </w:r>
      <w:r w:rsidR="00ED205F" w:rsidRPr="006161CE">
        <w:rPr>
          <w:rFonts w:ascii="Book Antiqua" w:hAnsi="Book Antiqua"/>
        </w:rPr>
        <w:t>.</w:t>
      </w:r>
    </w:p>
    <w:p w:rsidR="00ED205F" w:rsidRPr="006161CE" w:rsidRDefault="00ED205F" w:rsidP="00E32AFE">
      <w:pPr>
        <w:widowControl w:val="0"/>
        <w:spacing w:after="100" w:line="340" w:lineRule="exact"/>
        <w:ind w:firstLine="0"/>
        <w:jc w:val="both"/>
        <w:rPr>
          <w:rFonts w:ascii="Book Antiqua" w:hAnsi="Book Antiqua"/>
        </w:rPr>
      </w:pPr>
      <w:r w:rsidRPr="006161CE">
        <w:rPr>
          <w:rFonts w:ascii="Book Antiqua" w:hAnsi="Book Antiqua"/>
        </w:rPr>
        <w:lastRenderedPageBreak/>
        <w:t xml:space="preserve"> L’applicazione letterale della norma, d’altronde, secondo il Giudice del lavoro, risulta perfettamente aderente al disposto dell’art. 37 CCNL dei Segretari Comunali che, nel novero delle voci che compongono la retribuzione, inserisce anche i diritti di rogito. </w:t>
      </w:r>
    </w:p>
    <w:p w:rsidR="00ED205F" w:rsidRPr="006161CE" w:rsidRDefault="00145A73" w:rsidP="00632457">
      <w:pPr>
        <w:shd w:val="clear" w:color="auto" w:fill="FFFFFF"/>
        <w:spacing w:before="240" w:after="240" w:line="340" w:lineRule="exact"/>
        <w:ind w:firstLine="0"/>
        <w:jc w:val="center"/>
        <w:rPr>
          <w:rFonts w:ascii="Book Antiqua" w:eastAsiaTheme="minorEastAsia" w:hAnsi="Book Antiqua"/>
          <w:b/>
          <w:spacing w:val="-4"/>
          <w:w w:val="105"/>
        </w:rPr>
      </w:pPr>
      <w:r w:rsidRPr="00632457">
        <w:rPr>
          <w:rFonts w:ascii="Book Antiqua" w:hAnsi="Book Antiqua"/>
          <w:b/>
          <w:spacing w:val="20"/>
        </w:rPr>
        <w:t>CONSIDERATO</w:t>
      </w:r>
    </w:p>
    <w:p w:rsidR="00ED205F" w:rsidRPr="006161CE" w:rsidRDefault="00145A73" w:rsidP="00E32AFE">
      <w:pPr>
        <w:widowControl w:val="0"/>
        <w:spacing w:after="100" w:line="340" w:lineRule="exact"/>
        <w:ind w:firstLine="0"/>
        <w:jc w:val="both"/>
        <w:rPr>
          <w:rFonts w:ascii="Book Antiqua" w:eastAsiaTheme="minorEastAsia" w:hAnsi="Book Antiqua"/>
          <w:spacing w:val="-4"/>
          <w:w w:val="105"/>
        </w:rPr>
      </w:pPr>
      <w:r w:rsidRPr="006161CE">
        <w:rPr>
          <w:rFonts w:ascii="Book Antiqua" w:eastAsiaTheme="minorEastAsia" w:hAnsi="Book Antiqua"/>
          <w:spacing w:val="-4"/>
          <w:w w:val="105"/>
        </w:rPr>
        <w:t xml:space="preserve">5. </w:t>
      </w:r>
      <w:r w:rsidR="00ED205F" w:rsidRPr="006161CE">
        <w:rPr>
          <w:rFonts w:ascii="Book Antiqua" w:eastAsiaTheme="minorEastAsia" w:hAnsi="Book Antiqua"/>
          <w:spacing w:val="-4"/>
          <w:w w:val="105"/>
        </w:rPr>
        <w:t xml:space="preserve">La questione, all’esame della Sezione, ripropone il quesito circa la riconoscibilità </w:t>
      </w:r>
      <w:r w:rsidR="00F50330" w:rsidRPr="00AB168D">
        <w:rPr>
          <w:rFonts w:ascii="Book Antiqua" w:eastAsiaTheme="minorEastAsia" w:hAnsi="Book Antiqua"/>
          <w:spacing w:val="-4"/>
          <w:w w:val="105"/>
        </w:rPr>
        <w:t>o meno</w:t>
      </w:r>
      <w:r w:rsidR="002F4F97" w:rsidRPr="00AB168D">
        <w:rPr>
          <w:rFonts w:ascii="Book Antiqua" w:eastAsiaTheme="minorEastAsia" w:hAnsi="Book Antiqua"/>
          <w:spacing w:val="-4"/>
          <w:w w:val="105"/>
        </w:rPr>
        <w:t xml:space="preserve"> - </w:t>
      </w:r>
      <w:r w:rsidR="00ED205F" w:rsidRPr="00AB168D">
        <w:rPr>
          <w:rFonts w:ascii="Book Antiqua" w:eastAsiaTheme="minorEastAsia" w:hAnsi="Book Antiqua"/>
          <w:spacing w:val="-4"/>
          <w:w w:val="105"/>
        </w:rPr>
        <w:t xml:space="preserve">ancorché </w:t>
      </w:r>
      <w:r w:rsidR="00ED205F" w:rsidRPr="006161CE">
        <w:rPr>
          <w:rFonts w:ascii="Book Antiqua" w:eastAsiaTheme="minorEastAsia" w:hAnsi="Book Antiqua"/>
          <w:spacing w:val="-4"/>
          <w:w w:val="105"/>
        </w:rPr>
        <w:t xml:space="preserve">nei limiti indicati dalla legge di riforma della materia </w:t>
      </w:r>
      <w:r w:rsidR="00ED205F" w:rsidRPr="00F50330">
        <w:rPr>
          <w:rFonts w:ascii="Book Antiqua" w:eastAsiaTheme="minorEastAsia" w:hAnsi="Book Antiqua"/>
          <w:i/>
          <w:spacing w:val="-4"/>
          <w:w w:val="105"/>
        </w:rPr>
        <w:t>de qua</w:t>
      </w:r>
      <w:r w:rsidR="00ED205F" w:rsidRPr="006161CE">
        <w:rPr>
          <w:rFonts w:ascii="Book Antiqua" w:eastAsiaTheme="minorEastAsia" w:hAnsi="Book Antiqua"/>
          <w:spacing w:val="-4"/>
          <w:w w:val="105"/>
        </w:rPr>
        <w:t xml:space="preserve"> (articolo </w:t>
      </w:r>
      <w:r w:rsidR="00ED205F" w:rsidRPr="006161CE">
        <w:rPr>
          <w:rFonts w:ascii="Book Antiqua" w:hAnsi="Book Antiqua"/>
        </w:rPr>
        <w:t>10, comma 2</w:t>
      </w:r>
      <w:r w:rsidR="00ED205F" w:rsidRPr="006161CE">
        <w:rPr>
          <w:rFonts w:ascii="Book Antiqua" w:hAnsi="Book Antiqua"/>
          <w:i/>
        </w:rPr>
        <w:t>-bis</w:t>
      </w:r>
      <w:r w:rsidR="00ED205F" w:rsidRPr="006161CE">
        <w:rPr>
          <w:rFonts w:ascii="Book Antiqua" w:hAnsi="Book Antiqua"/>
        </w:rPr>
        <w:t xml:space="preserve">, del </w:t>
      </w:r>
      <w:proofErr w:type="spellStart"/>
      <w:r w:rsidR="00ED205F" w:rsidRPr="006161CE">
        <w:rPr>
          <w:rFonts w:ascii="Book Antiqua" w:hAnsi="Book Antiqua"/>
        </w:rPr>
        <w:t>d.l.</w:t>
      </w:r>
      <w:proofErr w:type="spellEnd"/>
      <w:r w:rsidR="00ED205F" w:rsidRPr="006161CE">
        <w:rPr>
          <w:rFonts w:ascii="Book Antiqua" w:hAnsi="Book Antiqua"/>
        </w:rPr>
        <w:t xml:space="preserve"> n. 90/2014</w:t>
      </w:r>
      <w:r w:rsidR="00ED205F" w:rsidRPr="006161CE">
        <w:rPr>
          <w:rFonts w:ascii="Book Antiqua" w:eastAsiaTheme="minorEastAsia" w:hAnsi="Book Antiqua"/>
          <w:spacing w:val="-4"/>
          <w:w w:val="105"/>
        </w:rPr>
        <w:t>) - dei proventi discendenti dall’attività rogatoria espletata dai Segretari comunali, ove questi ultimi, ancorché appartenenti alle fasce professionali A e B, esercitino le loro funzioni presso enti nei quali siano assenti figure dirigenziali.</w:t>
      </w:r>
    </w:p>
    <w:p w:rsidR="00ED205F" w:rsidRPr="006161CE" w:rsidRDefault="00ED205F" w:rsidP="00E32AFE">
      <w:pPr>
        <w:widowControl w:val="0"/>
        <w:spacing w:after="100" w:line="340" w:lineRule="exact"/>
        <w:ind w:firstLine="0"/>
        <w:jc w:val="both"/>
        <w:rPr>
          <w:rFonts w:ascii="Book Antiqua" w:hAnsi="Book Antiqua"/>
        </w:rPr>
      </w:pPr>
      <w:r w:rsidRPr="006161CE">
        <w:rPr>
          <w:rFonts w:ascii="Book Antiqua" w:eastAsiaTheme="minorEastAsia" w:hAnsi="Book Antiqua"/>
          <w:spacing w:val="-4"/>
          <w:w w:val="105"/>
        </w:rPr>
        <w:t>Occorre preliminarmente precisare che la necessità di un ulteriore intervento da parte di questa Sezione si impone in quanto le reiterate ed univoche, nel merito, pronunce del giudice del lavoro</w:t>
      </w:r>
      <w:r w:rsidR="00CA1E68" w:rsidRPr="006161CE">
        <w:rPr>
          <w:rFonts w:ascii="Book Antiqua" w:eastAsiaTheme="minorEastAsia" w:hAnsi="Book Antiqua"/>
          <w:spacing w:val="-4"/>
          <w:w w:val="105"/>
        </w:rPr>
        <w:t>,</w:t>
      </w:r>
      <w:r w:rsidRPr="006161CE">
        <w:rPr>
          <w:rFonts w:ascii="Book Antiqua" w:eastAsiaTheme="minorEastAsia" w:hAnsi="Book Antiqua"/>
          <w:spacing w:val="-4"/>
          <w:w w:val="105"/>
        </w:rPr>
        <w:t xml:space="preserve"> oltre a far prefigurare la, non remota, possibilità di ulteriori repliche di tali pronunciamenti, mettono in evidenza la progressiva disapplicazione di uno dei due principi di diritto </w:t>
      </w:r>
      <w:r w:rsidRPr="00AB168D">
        <w:rPr>
          <w:rFonts w:ascii="Book Antiqua" w:eastAsiaTheme="minorEastAsia" w:hAnsi="Book Antiqua"/>
          <w:spacing w:val="-4"/>
          <w:w w:val="105"/>
        </w:rPr>
        <w:t xml:space="preserve">pronunciati </w:t>
      </w:r>
      <w:r w:rsidR="00835BF8" w:rsidRPr="00AB168D">
        <w:rPr>
          <w:rFonts w:ascii="Book Antiqua" w:hAnsi="Book Antiqua"/>
        </w:rPr>
        <w:t xml:space="preserve">da questa </w:t>
      </w:r>
      <w:r w:rsidRPr="00AB168D">
        <w:rPr>
          <w:rFonts w:ascii="Book Antiqua" w:hAnsi="Book Antiqua"/>
        </w:rPr>
        <w:t>Sezione nella ricordata delibera ed il diffondersi di aspetti di disomogeneità e frammentarietà</w:t>
      </w:r>
      <w:r w:rsidRPr="006161CE">
        <w:rPr>
          <w:rFonts w:ascii="Book Antiqua" w:hAnsi="Book Antiqua"/>
        </w:rPr>
        <w:t xml:space="preserve"> nei modi di risolvere la medesima questione.</w:t>
      </w:r>
    </w:p>
    <w:p w:rsidR="00341AD7" w:rsidRPr="006161CE" w:rsidRDefault="00ED205F" w:rsidP="00E32AFE">
      <w:pPr>
        <w:widowControl w:val="0"/>
        <w:spacing w:after="100" w:line="340" w:lineRule="exact"/>
        <w:ind w:firstLine="0"/>
        <w:jc w:val="both"/>
        <w:rPr>
          <w:rFonts w:ascii="Book Antiqua" w:hAnsi="Book Antiqua"/>
        </w:rPr>
      </w:pPr>
      <w:r w:rsidRPr="006161CE">
        <w:rPr>
          <w:rFonts w:ascii="Book Antiqua" w:eastAsiaTheme="minorEastAsia" w:hAnsi="Book Antiqua"/>
          <w:spacing w:val="-4"/>
          <w:w w:val="105"/>
        </w:rPr>
        <w:t xml:space="preserve">Si tratta di pronunce che, ovviamente, si fondano su un percorso valutativo che si differenzia radicalmente da quello della Sezione delle autonomie. Una differenza che rileva sia in ordine alla situazione giuridica soggettiva considerata nella tutela azionata dai segretari che ricorrono al giudice del lavoro e cioè il diritto patrimoniale soggettivo all’emolumento, sia per quel che riguarda l’individuazione dei parametri normativi di riferimento che portano all’accertamento costitutivo del diritto alla percezione dei diritti di rogito, vale a dire la verifica </w:t>
      </w:r>
      <w:r w:rsidRPr="006161CE">
        <w:rPr>
          <w:rFonts w:ascii="Book Antiqua" w:eastAsiaTheme="minorEastAsia" w:hAnsi="Book Antiqua"/>
          <w:i/>
          <w:spacing w:val="-4"/>
          <w:w w:val="105"/>
        </w:rPr>
        <w:t>“tout court”</w:t>
      </w:r>
      <w:r w:rsidRPr="006161CE">
        <w:rPr>
          <w:rFonts w:ascii="Book Antiqua" w:eastAsiaTheme="minorEastAsia" w:hAnsi="Book Antiqua"/>
          <w:spacing w:val="-4"/>
          <w:w w:val="105"/>
        </w:rPr>
        <w:t xml:space="preserve"> del presupposto che dà titolo all’attribuzione patrimoniale e cioè l’assenza di figure </w:t>
      </w:r>
      <w:r w:rsidRPr="00F50330">
        <w:rPr>
          <w:rFonts w:ascii="Book Antiqua" w:eastAsiaTheme="minorEastAsia" w:hAnsi="Book Antiqua"/>
          <w:spacing w:val="-4"/>
          <w:w w:val="105"/>
        </w:rPr>
        <w:t>dirigenziali</w:t>
      </w:r>
      <w:r w:rsidR="00CA1E68" w:rsidRPr="00F50330">
        <w:rPr>
          <w:rFonts w:ascii="Book Antiqua" w:eastAsiaTheme="minorEastAsia" w:hAnsi="Book Antiqua"/>
          <w:spacing w:val="-4"/>
          <w:w w:val="105"/>
        </w:rPr>
        <w:t xml:space="preserve"> nella sede di servizio</w:t>
      </w:r>
      <w:r w:rsidRPr="00F50330">
        <w:rPr>
          <w:rFonts w:ascii="Book Antiqua" w:eastAsiaTheme="minorEastAsia" w:hAnsi="Book Antiqua"/>
          <w:spacing w:val="-4"/>
          <w:w w:val="105"/>
        </w:rPr>
        <w:t>.</w:t>
      </w:r>
      <w:r w:rsidR="00341AD7" w:rsidRPr="00F50330">
        <w:rPr>
          <w:rFonts w:ascii="Book Antiqua" w:eastAsiaTheme="minorEastAsia" w:hAnsi="Book Antiqua"/>
          <w:spacing w:val="-4"/>
          <w:w w:val="105"/>
        </w:rPr>
        <w:t xml:space="preserve"> In</w:t>
      </w:r>
      <w:r w:rsidR="00341AD7" w:rsidRPr="006161CE">
        <w:rPr>
          <w:rFonts w:ascii="Book Antiqua" w:eastAsiaTheme="minorEastAsia" w:hAnsi="Book Antiqua"/>
          <w:spacing w:val="-4"/>
          <w:w w:val="105"/>
        </w:rPr>
        <w:t xml:space="preserve"> sostanza si evidenzia </w:t>
      </w:r>
      <w:r w:rsidR="00341AD7" w:rsidRPr="006161CE">
        <w:rPr>
          <w:rFonts w:ascii="Book Antiqua" w:hAnsi="Book Antiqua"/>
        </w:rPr>
        <w:t xml:space="preserve">la funzione di reintegrazione del patrimonio del ricorrente che si assume illegittimamente leso dal diniego opposto dall’amministrazione di servizio al riconoscimento di un diritto soggettivo </w:t>
      </w:r>
      <w:r w:rsidR="00CA1E68" w:rsidRPr="006161CE">
        <w:rPr>
          <w:rFonts w:ascii="Book Antiqua" w:hAnsi="Book Antiqua"/>
        </w:rPr>
        <w:t>perfetto</w:t>
      </w:r>
      <w:r w:rsidR="00341AD7" w:rsidRPr="006161CE">
        <w:rPr>
          <w:rFonts w:ascii="Book Antiqua" w:hAnsi="Book Antiqua"/>
        </w:rPr>
        <w:t>.</w:t>
      </w:r>
    </w:p>
    <w:p w:rsidR="00ED205F" w:rsidRPr="006161CE" w:rsidRDefault="00835BF8" w:rsidP="00E32AFE">
      <w:pPr>
        <w:widowControl w:val="0"/>
        <w:spacing w:after="100" w:line="340" w:lineRule="exact"/>
        <w:ind w:firstLine="0"/>
        <w:jc w:val="both"/>
        <w:rPr>
          <w:rFonts w:ascii="Book Antiqua" w:hAnsi="Book Antiqua"/>
        </w:rPr>
      </w:pPr>
      <w:r w:rsidRPr="00AB168D">
        <w:rPr>
          <w:rFonts w:ascii="Book Antiqua" w:hAnsi="Book Antiqua"/>
        </w:rPr>
        <w:t>Questa</w:t>
      </w:r>
      <w:r w:rsidR="00ED205F" w:rsidRPr="00AB168D">
        <w:rPr>
          <w:rFonts w:ascii="Book Antiqua" w:hAnsi="Book Antiqua"/>
        </w:rPr>
        <w:t xml:space="preserve"> Sezione, nella deliberazione numero 21/SEZAUT/2015/QMIG del 04.06.2015 </w:t>
      </w:r>
      <w:r w:rsidRPr="00AB168D">
        <w:rPr>
          <w:rFonts w:ascii="Book Antiqua" w:hAnsi="Book Antiqua"/>
        </w:rPr>
        <w:t xml:space="preserve">ha </w:t>
      </w:r>
      <w:r w:rsidR="00ED205F" w:rsidRPr="00AB168D">
        <w:rPr>
          <w:rFonts w:ascii="Book Antiqua" w:hAnsi="Book Antiqua"/>
        </w:rPr>
        <w:t>privilegia</w:t>
      </w:r>
      <w:r w:rsidRPr="00AB168D">
        <w:rPr>
          <w:rFonts w:ascii="Book Antiqua" w:hAnsi="Book Antiqua"/>
        </w:rPr>
        <w:t>to</w:t>
      </w:r>
      <w:r w:rsidR="00ED205F" w:rsidRPr="006161CE">
        <w:rPr>
          <w:rFonts w:ascii="Book Antiqua" w:hAnsi="Book Antiqua"/>
        </w:rPr>
        <w:t>, invece, una interpretazione della norma funzionale al conseguimento dell’interesse pubblico a garantire maggiori entrate in favore degli enti locali che fa recedere l’interesse (patrimoniale) particolare del segretario comunale,</w:t>
      </w:r>
      <w:r w:rsidR="00ED205F" w:rsidRPr="006161CE">
        <w:rPr>
          <w:rFonts w:ascii="Book Antiqua" w:hAnsi="Book Antiqua"/>
          <w:i/>
        </w:rPr>
        <w:t xml:space="preserve"> “fatta salva l’ipotesi della fascia professionale e della condizione economica che meno garantisca il singolo segretario a livello retributivo</w:t>
      </w:r>
      <w:r w:rsidR="00ED205F" w:rsidRPr="006161CE">
        <w:rPr>
          <w:rFonts w:ascii="Book Antiqua" w:hAnsi="Book Antiqua"/>
        </w:rPr>
        <w:t>”.</w:t>
      </w:r>
    </w:p>
    <w:p w:rsidR="00ED205F" w:rsidRPr="006161CE" w:rsidRDefault="00ED205F" w:rsidP="00E32AFE">
      <w:pPr>
        <w:widowControl w:val="0"/>
        <w:spacing w:after="100" w:line="340" w:lineRule="exact"/>
        <w:ind w:firstLine="0"/>
        <w:jc w:val="both"/>
        <w:rPr>
          <w:rFonts w:ascii="Book Antiqua" w:hAnsi="Book Antiqua"/>
          <w:i/>
        </w:rPr>
      </w:pPr>
      <w:r w:rsidRPr="006161CE">
        <w:rPr>
          <w:rFonts w:ascii="Book Antiqua" w:hAnsi="Book Antiqua"/>
        </w:rPr>
        <w:t xml:space="preserve">Ciò </w:t>
      </w:r>
      <w:r w:rsidRPr="00AB168D">
        <w:rPr>
          <w:rFonts w:ascii="Book Antiqua" w:hAnsi="Book Antiqua"/>
        </w:rPr>
        <w:t>detto</w:t>
      </w:r>
      <w:r w:rsidR="00F50330" w:rsidRPr="00AB168D">
        <w:rPr>
          <w:rFonts w:ascii="Book Antiqua" w:hAnsi="Book Antiqua"/>
        </w:rPr>
        <w:t>,</w:t>
      </w:r>
      <w:r w:rsidRPr="00AB168D">
        <w:rPr>
          <w:rFonts w:ascii="Book Antiqua" w:hAnsi="Book Antiqua"/>
        </w:rPr>
        <w:t xml:space="preserve"> il</w:t>
      </w:r>
      <w:r w:rsidRPr="006161CE">
        <w:rPr>
          <w:rFonts w:ascii="Book Antiqua" w:hAnsi="Book Antiqua"/>
        </w:rPr>
        <w:t xml:space="preserve"> percorso </w:t>
      </w:r>
      <w:r w:rsidRPr="00AB168D">
        <w:rPr>
          <w:rFonts w:ascii="Book Antiqua" w:hAnsi="Book Antiqua"/>
        </w:rPr>
        <w:t xml:space="preserve">argomentativo per </w:t>
      </w:r>
      <w:r w:rsidRPr="006161CE">
        <w:rPr>
          <w:rFonts w:ascii="Book Antiqua" w:hAnsi="Book Antiqua"/>
        </w:rPr>
        <w:t xml:space="preserve">una nuova valutazione degli aspetti di diritto del tema posto deve muovere dalla verifica di una compatibilità logica tra gli aspetti sostanziali sottesi al consolidato indirizzo giurisprudenziale che connota gli accertamenti costitutivi del giudice del lavoro e quelli sottesi alla </w:t>
      </w:r>
      <w:r w:rsidRPr="00AB168D">
        <w:rPr>
          <w:rFonts w:ascii="Book Antiqua" w:hAnsi="Book Antiqua"/>
        </w:rPr>
        <w:t>prospettazione della questione che aveva indirizzato questa Corte nell’analizzare l’</w:t>
      </w:r>
      <w:r w:rsidRPr="00AB168D">
        <w:rPr>
          <w:rFonts w:ascii="Book Antiqua" w:eastAsiaTheme="minorEastAsia" w:hAnsi="Book Antiqua"/>
          <w:spacing w:val="-4"/>
          <w:w w:val="105"/>
        </w:rPr>
        <w:t xml:space="preserve">articolo </w:t>
      </w:r>
      <w:r w:rsidR="00F50330" w:rsidRPr="00AB168D">
        <w:rPr>
          <w:rFonts w:ascii="Book Antiqua" w:hAnsi="Book Antiqua"/>
        </w:rPr>
        <w:t>10, comma 2</w:t>
      </w:r>
      <w:r w:rsidR="00F50330" w:rsidRPr="00AB168D">
        <w:rPr>
          <w:rFonts w:ascii="Book Antiqua" w:hAnsi="Book Antiqua"/>
          <w:i/>
        </w:rPr>
        <w:t>-</w:t>
      </w:r>
      <w:r w:rsidRPr="00AB168D">
        <w:rPr>
          <w:rFonts w:ascii="Book Antiqua" w:hAnsi="Book Antiqua"/>
          <w:i/>
        </w:rPr>
        <w:t>bis</w:t>
      </w:r>
      <w:r w:rsidRPr="00AB168D">
        <w:rPr>
          <w:rFonts w:ascii="Book Antiqua" w:hAnsi="Book Antiqua"/>
        </w:rPr>
        <w:t xml:space="preserve">, del </w:t>
      </w:r>
      <w:proofErr w:type="spellStart"/>
      <w:r w:rsidR="00F50330" w:rsidRPr="00AB168D">
        <w:rPr>
          <w:rFonts w:ascii="Book Antiqua" w:hAnsi="Book Antiqua"/>
        </w:rPr>
        <w:t>d.l.</w:t>
      </w:r>
      <w:proofErr w:type="spellEnd"/>
      <w:r w:rsidRPr="00AB168D">
        <w:rPr>
          <w:rFonts w:ascii="Book Antiqua" w:hAnsi="Book Antiqua"/>
        </w:rPr>
        <w:t xml:space="preserve"> n. 90/2014 che è sfociato, poi, nella deliberazione numero 21/SEZAUT/2015/QMIG</w:t>
      </w:r>
      <w:r w:rsidRPr="006161CE">
        <w:rPr>
          <w:rFonts w:ascii="Book Antiqua" w:hAnsi="Book Antiqua"/>
        </w:rPr>
        <w:t xml:space="preserve"> del 04.06.2015: </w:t>
      </w:r>
      <w:r w:rsidRPr="006161CE">
        <w:rPr>
          <w:rFonts w:ascii="Book Antiqua" w:hAnsi="Book Antiqua"/>
          <w:i/>
        </w:rPr>
        <w:lastRenderedPageBreak/>
        <w:t>garantire, nell’ottica di un contemperamento tra due interessi diversi, maggiori entrate agli enti locali, così da salvaguardare un superiore interesse pubblico, qual è la concreta tutela della finanza locale.</w:t>
      </w:r>
    </w:p>
    <w:p w:rsidR="00ED205F" w:rsidRPr="006161CE" w:rsidRDefault="00ED205F" w:rsidP="00E32AFE">
      <w:pPr>
        <w:widowControl w:val="0"/>
        <w:spacing w:after="100" w:line="340" w:lineRule="exact"/>
        <w:ind w:firstLine="0"/>
        <w:jc w:val="both"/>
        <w:rPr>
          <w:rFonts w:ascii="Book Antiqua" w:hAnsi="Book Antiqua"/>
          <w:i/>
        </w:rPr>
      </w:pPr>
      <w:r w:rsidRPr="006161CE">
        <w:rPr>
          <w:rFonts w:ascii="Book Antiqua" w:hAnsi="Book Antiqua"/>
        </w:rPr>
        <w:t>In sostanza, nel definire il perimetro dell’azione di contemperamento disegnato dal legislatore con la previsione legislativa</w:t>
      </w:r>
      <w:r w:rsidR="00341AD7" w:rsidRPr="006161CE">
        <w:rPr>
          <w:rFonts w:ascii="Book Antiqua" w:hAnsi="Book Antiqua"/>
        </w:rPr>
        <w:t xml:space="preserve"> in </w:t>
      </w:r>
      <w:r w:rsidR="00341AD7" w:rsidRPr="00AB168D">
        <w:rPr>
          <w:rFonts w:ascii="Book Antiqua" w:hAnsi="Book Antiqua"/>
        </w:rPr>
        <w:t>argomento</w:t>
      </w:r>
      <w:r w:rsidR="00AB168D" w:rsidRPr="00AB168D">
        <w:rPr>
          <w:rFonts w:ascii="Book Antiqua" w:hAnsi="Book Antiqua"/>
        </w:rPr>
        <w:t xml:space="preserve">, </w:t>
      </w:r>
      <w:r w:rsidR="00835BF8" w:rsidRPr="00AB168D">
        <w:rPr>
          <w:rFonts w:ascii="Book Antiqua" w:hAnsi="Book Antiqua"/>
        </w:rPr>
        <w:t>questa</w:t>
      </w:r>
      <w:r w:rsidRPr="00AB168D">
        <w:rPr>
          <w:rFonts w:ascii="Book Antiqua" w:hAnsi="Book Antiqua"/>
        </w:rPr>
        <w:t xml:space="preserve"> Sezione ha individuato du</w:t>
      </w:r>
      <w:r w:rsidR="00AB168D" w:rsidRPr="00AB168D">
        <w:rPr>
          <w:rFonts w:ascii="Book Antiqua" w:hAnsi="Book Antiqua"/>
        </w:rPr>
        <w:t xml:space="preserve">e aspetti meritevoli di tutela: </w:t>
      </w:r>
      <w:r w:rsidRPr="00AB168D">
        <w:rPr>
          <w:rFonts w:ascii="Book Antiqua" w:hAnsi="Book Antiqua"/>
        </w:rPr>
        <w:t>garantire maggiori entrate alle amministrazioni locali, salvaguardando, nel contempo, gli specifici interessi patrimoniali della sola categoria professionale dei Segretari comunali di fascia C</w:t>
      </w:r>
      <w:r w:rsidR="006F7C22" w:rsidRPr="00AB168D">
        <w:rPr>
          <w:rFonts w:ascii="Book Antiqua" w:hAnsi="Book Antiqua"/>
        </w:rPr>
        <w:t>,</w:t>
      </w:r>
      <w:r w:rsidRPr="00AB168D">
        <w:rPr>
          <w:rFonts w:ascii="Book Antiqua" w:hAnsi="Book Antiqua"/>
        </w:rPr>
        <w:t xml:space="preserve"> la cui</w:t>
      </w:r>
      <w:r w:rsidRPr="006161CE">
        <w:rPr>
          <w:rFonts w:ascii="Book Antiqua" w:hAnsi="Book Antiqua"/>
        </w:rPr>
        <w:t xml:space="preserve"> tutela rinviene la sua qualificazione in una finalità perequativa necessaria a sopperire a situazioni stipendiali meno favorevoli.</w:t>
      </w:r>
    </w:p>
    <w:p w:rsidR="00ED205F" w:rsidRPr="00F50330" w:rsidRDefault="00ED205F" w:rsidP="00E32AFE">
      <w:pPr>
        <w:widowControl w:val="0"/>
        <w:spacing w:after="100" w:line="340" w:lineRule="exact"/>
        <w:ind w:firstLine="0"/>
        <w:jc w:val="both"/>
        <w:rPr>
          <w:rFonts w:ascii="Book Antiqua" w:hAnsi="Book Antiqua"/>
        </w:rPr>
      </w:pPr>
      <w:r w:rsidRPr="006161CE">
        <w:rPr>
          <w:rFonts w:ascii="Book Antiqua" w:hAnsi="Book Antiqua"/>
        </w:rPr>
        <w:t xml:space="preserve">Opinando diversamente, il giudice del lavoro, così come una parte della giurisprudenza delle Sezioni regionali di controllo, nel privilegiare </w:t>
      </w:r>
      <w:r w:rsidR="00CA1E68" w:rsidRPr="006161CE">
        <w:rPr>
          <w:rFonts w:ascii="Book Antiqua" w:hAnsi="Book Antiqua"/>
        </w:rPr>
        <w:t>l</w:t>
      </w:r>
      <w:r w:rsidRPr="006161CE">
        <w:rPr>
          <w:rFonts w:ascii="Book Antiqua" w:hAnsi="Book Antiqua"/>
        </w:rPr>
        <w:t xml:space="preserve">’interpretazione letterale della norma, hanno, al contrario, ampliato l’area di legittimazione alla percezione dei diritti di rogito, individuandone il presupposto nell’assenza di figure dirigenziali nell’ente in cui è </w:t>
      </w:r>
      <w:r w:rsidRPr="00F50330">
        <w:rPr>
          <w:rFonts w:ascii="Book Antiqua" w:hAnsi="Book Antiqua"/>
        </w:rPr>
        <w:t>prestato il servizio.</w:t>
      </w:r>
    </w:p>
    <w:p w:rsidR="00ED205F" w:rsidRPr="006161CE" w:rsidRDefault="00CA1E68" w:rsidP="00E32AFE">
      <w:pPr>
        <w:widowControl w:val="0"/>
        <w:spacing w:after="100" w:line="340" w:lineRule="exact"/>
        <w:ind w:firstLine="0"/>
        <w:jc w:val="both"/>
        <w:rPr>
          <w:rFonts w:ascii="Book Antiqua" w:hAnsi="Book Antiqua"/>
        </w:rPr>
      </w:pPr>
      <w:r w:rsidRPr="00F50330">
        <w:rPr>
          <w:rFonts w:ascii="Book Antiqua" w:hAnsi="Book Antiqua"/>
        </w:rPr>
        <w:t>Logico corollario di</w:t>
      </w:r>
      <w:r w:rsidR="00ED205F" w:rsidRPr="00F50330">
        <w:rPr>
          <w:rFonts w:ascii="Book Antiqua" w:hAnsi="Book Antiqua"/>
        </w:rPr>
        <w:t xml:space="preserve"> tale assunto</w:t>
      </w:r>
      <w:r w:rsidRPr="00F50330">
        <w:rPr>
          <w:rFonts w:ascii="Book Antiqua" w:hAnsi="Book Antiqua"/>
        </w:rPr>
        <w:t xml:space="preserve"> è, pertanto, una dilatazione del suddetto</w:t>
      </w:r>
      <w:r w:rsidR="00ED205F" w:rsidRPr="006161CE">
        <w:rPr>
          <w:rFonts w:ascii="Book Antiqua" w:hAnsi="Book Antiqua"/>
        </w:rPr>
        <w:t xml:space="preserve"> contemperamento fino al punto di prevenire il sacrificio di ulteriori posizioni di vantaggio quali sono da considerare quelle dei segretari comunali appartenenti alle fasce A e B che però prestano servizio in enti privi di dirigenza.</w:t>
      </w:r>
    </w:p>
    <w:p w:rsidR="00ED205F" w:rsidRPr="006161CE" w:rsidRDefault="00ED205F" w:rsidP="00E32AFE">
      <w:pPr>
        <w:widowControl w:val="0"/>
        <w:spacing w:after="100" w:line="340" w:lineRule="exact"/>
        <w:ind w:firstLine="0"/>
        <w:jc w:val="both"/>
        <w:rPr>
          <w:rFonts w:ascii="Book Antiqua" w:hAnsi="Book Antiqua"/>
        </w:rPr>
      </w:pPr>
      <w:r w:rsidRPr="006161CE">
        <w:rPr>
          <w:rFonts w:ascii="Book Antiqua" w:hAnsi="Book Antiqua"/>
        </w:rPr>
        <w:t xml:space="preserve">In proposito vale considerare </w:t>
      </w:r>
      <w:r w:rsidR="001F1A7A" w:rsidRPr="006161CE">
        <w:rPr>
          <w:rFonts w:ascii="Book Antiqua" w:hAnsi="Book Antiqua"/>
        </w:rPr>
        <w:t xml:space="preserve">che, verosimilmente, la </w:t>
      </w:r>
      <w:r w:rsidR="001F1A7A" w:rsidRPr="00E32AFE">
        <w:rPr>
          <w:rFonts w:ascii="Book Antiqua" w:hAnsi="Book Antiqua"/>
          <w:i/>
        </w:rPr>
        <w:t>ratio</w:t>
      </w:r>
      <w:r w:rsidR="001F1A7A" w:rsidRPr="006161CE">
        <w:rPr>
          <w:rFonts w:ascii="Book Antiqua" w:hAnsi="Book Antiqua"/>
        </w:rPr>
        <w:t xml:space="preserve"> della</w:t>
      </w:r>
      <w:r w:rsidRPr="006161CE">
        <w:rPr>
          <w:rFonts w:ascii="Book Antiqua" w:hAnsi="Book Antiqua"/>
        </w:rPr>
        <w:t xml:space="preserve"> disposizione non è da individuarsi nella carenza in sé nell’ente di personale con qualifica dirigenziale, circostanza che da sola non consente di costruire concettualmente la logica dell’attribuzione, ma nel fatto che tale carenza </w:t>
      </w:r>
      <w:r w:rsidR="006D10A6" w:rsidRPr="006161CE">
        <w:rPr>
          <w:rFonts w:ascii="Book Antiqua" w:hAnsi="Book Antiqua"/>
        </w:rPr>
        <w:t>influisce</w:t>
      </w:r>
      <w:r w:rsidRPr="006161CE">
        <w:rPr>
          <w:rFonts w:ascii="Book Antiqua" w:hAnsi="Book Antiqua"/>
        </w:rPr>
        <w:t xml:space="preserve"> su</w:t>
      </w:r>
      <w:r w:rsidR="001F1A7A" w:rsidRPr="006161CE">
        <w:rPr>
          <w:rFonts w:ascii="Book Antiqua" w:hAnsi="Book Antiqua"/>
        </w:rPr>
        <w:t>lla consist</w:t>
      </w:r>
      <w:r w:rsidR="00B90CAB">
        <w:rPr>
          <w:rFonts w:ascii="Book Antiqua" w:hAnsi="Book Antiqua"/>
        </w:rPr>
        <w:t>enza del trattamento economico</w:t>
      </w:r>
      <w:r w:rsidR="00E32AFE">
        <w:rPr>
          <w:rFonts w:ascii="Book Antiqua" w:hAnsi="Book Antiqua"/>
        </w:rPr>
        <w:t>,</w:t>
      </w:r>
      <w:r w:rsidR="00B90CAB">
        <w:rPr>
          <w:rFonts w:ascii="Book Antiqua" w:hAnsi="Book Antiqua"/>
        </w:rPr>
        <w:t xml:space="preserve"> </w:t>
      </w:r>
      <w:r w:rsidR="001F1A7A" w:rsidRPr="006161CE">
        <w:rPr>
          <w:rFonts w:ascii="Book Antiqua" w:hAnsi="Book Antiqua"/>
        </w:rPr>
        <w:t>tenuto conto della disciplina delle sue specifiche componenti che risentono</w:t>
      </w:r>
      <w:r w:rsidR="00043FBC" w:rsidRPr="006161CE">
        <w:rPr>
          <w:rFonts w:ascii="Book Antiqua" w:hAnsi="Book Antiqua"/>
        </w:rPr>
        <w:t>,</w:t>
      </w:r>
      <w:r w:rsidR="001F1A7A" w:rsidRPr="006161CE">
        <w:rPr>
          <w:rFonts w:ascii="Book Antiqua" w:hAnsi="Book Antiqua"/>
        </w:rPr>
        <w:t xml:space="preserve"> nella loro quantificazione</w:t>
      </w:r>
      <w:r w:rsidR="00043FBC" w:rsidRPr="006161CE">
        <w:rPr>
          <w:rFonts w:ascii="Book Antiqua" w:hAnsi="Book Antiqua"/>
        </w:rPr>
        <w:t>,</w:t>
      </w:r>
      <w:r w:rsidR="001F1A7A" w:rsidRPr="006161CE">
        <w:rPr>
          <w:rFonts w:ascii="Book Antiqua" w:hAnsi="Book Antiqua"/>
        </w:rPr>
        <w:t xml:space="preserve"> della correlazione alle dimensioni dell’ente dove il segretario presta servizio. </w:t>
      </w:r>
    </w:p>
    <w:p w:rsidR="00ED205F" w:rsidRPr="006161CE" w:rsidRDefault="00ED205F" w:rsidP="00E32AFE">
      <w:pPr>
        <w:widowControl w:val="0"/>
        <w:spacing w:after="100" w:line="340" w:lineRule="exact"/>
        <w:ind w:firstLine="0"/>
        <w:jc w:val="both"/>
        <w:rPr>
          <w:rFonts w:ascii="Book Antiqua" w:hAnsi="Book Antiqua"/>
        </w:rPr>
      </w:pPr>
      <w:r w:rsidRPr="006161CE">
        <w:rPr>
          <w:rFonts w:ascii="Book Antiqua" w:hAnsi="Book Antiqua"/>
        </w:rPr>
        <w:t>Tale azione di conformazione della situazione di fatto alla norma, prodotta dalle sentenze del G.O. in</w:t>
      </w:r>
      <w:r w:rsidR="00487619" w:rsidRPr="006161CE">
        <w:rPr>
          <w:rFonts w:ascii="Book Antiqua" w:hAnsi="Book Antiqua"/>
        </w:rPr>
        <w:t xml:space="preserve"> quanto declinata in </w:t>
      </w:r>
      <w:r w:rsidRPr="006161CE">
        <w:rPr>
          <w:rFonts w:ascii="Book Antiqua" w:hAnsi="Book Antiqua"/>
        </w:rPr>
        <w:t xml:space="preserve">reiterate pronunce, assume la </w:t>
      </w:r>
      <w:r w:rsidR="006D10A6" w:rsidRPr="006161CE">
        <w:rPr>
          <w:rFonts w:ascii="Book Antiqua" w:hAnsi="Book Antiqua"/>
        </w:rPr>
        <w:t xml:space="preserve">sostanziale </w:t>
      </w:r>
      <w:r w:rsidRPr="006161CE">
        <w:rPr>
          <w:rFonts w:ascii="Book Antiqua" w:hAnsi="Book Antiqua"/>
        </w:rPr>
        <w:t xml:space="preserve">consistenza di </w:t>
      </w:r>
      <w:r w:rsidR="006D10A6" w:rsidRPr="006161CE">
        <w:rPr>
          <w:rFonts w:ascii="Book Antiqua" w:hAnsi="Book Antiqua"/>
        </w:rPr>
        <w:t xml:space="preserve">parametro di valutazione </w:t>
      </w:r>
      <w:r w:rsidRPr="006161CE">
        <w:rPr>
          <w:rFonts w:ascii="Book Antiqua" w:hAnsi="Book Antiqua"/>
        </w:rPr>
        <w:t>alla luce del quale va ridefi</w:t>
      </w:r>
      <w:r w:rsidR="006D10A6" w:rsidRPr="006161CE">
        <w:rPr>
          <w:rFonts w:ascii="Book Antiqua" w:hAnsi="Book Antiqua"/>
        </w:rPr>
        <w:t>nito il suddetto perimetro.</w:t>
      </w:r>
      <w:r w:rsidRPr="006161CE">
        <w:rPr>
          <w:rFonts w:ascii="Book Antiqua" w:hAnsi="Book Antiqua"/>
        </w:rPr>
        <w:t xml:space="preserve"> In questa operazione di rivisitazione del principio di diritto espresso dalla Sezione delle autonomie nella delibera più volte richiamata, si concretizza la verifica di compatibilità tra indirizzo del giudice ordinario, del quale non può non prendersene atto ed orientamento della Corte dei conti. In altri termini</w:t>
      </w:r>
      <w:r w:rsidRPr="006161CE">
        <w:rPr>
          <w:rFonts w:ascii="Book Antiqua" w:hAnsi="Book Antiqua"/>
          <w:color w:val="FF0000"/>
        </w:rPr>
        <w:t xml:space="preserve"> </w:t>
      </w:r>
      <w:r w:rsidRPr="006161CE">
        <w:rPr>
          <w:rFonts w:ascii="Book Antiqua" w:hAnsi="Book Antiqua"/>
        </w:rPr>
        <w:t>il predetto indirizzo assurge anch’esso</w:t>
      </w:r>
      <w:r w:rsidR="006D10A6" w:rsidRPr="006161CE">
        <w:rPr>
          <w:rFonts w:ascii="Book Antiqua" w:hAnsi="Book Antiqua"/>
        </w:rPr>
        <w:t>, come appena ricordato,</w:t>
      </w:r>
      <w:r w:rsidRPr="006161CE">
        <w:rPr>
          <w:rFonts w:ascii="Book Antiqua" w:hAnsi="Book Antiqua"/>
        </w:rPr>
        <w:t xml:space="preserve"> a sostanziale parametro di </w:t>
      </w:r>
      <w:r w:rsidRPr="00F50330">
        <w:rPr>
          <w:rFonts w:ascii="Book Antiqua" w:hAnsi="Book Antiqua"/>
        </w:rPr>
        <w:t xml:space="preserve">riferimento </w:t>
      </w:r>
      <w:r w:rsidR="00694663" w:rsidRPr="00F50330">
        <w:rPr>
          <w:rFonts w:ascii="Book Antiqua" w:hAnsi="Book Antiqua"/>
        </w:rPr>
        <w:t>oggettivo, in punto di diritto,</w:t>
      </w:r>
      <w:r w:rsidR="00694663" w:rsidRPr="006161CE">
        <w:rPr>
          <w:rFonts w:ascii="Book Antiqua" w:hAnsi="Book Antiqua"/>
        </w:rPr>
        <w:t xml:space="preserve"> </w:t>
      </w:r>
      <w:r w:rsidRPr="006161CE">
        <w:rPr>
          <w:rFonts w:ascii="Book Antiqua" w:hAnsi="Book Antiqua"/>
        </w:rPr>
        <w:t>nella decisione della questione di massima.</w:t>
      </w:r>
    </w:p>
    <w:p w:rsidR="00ED205F" w:rsidRPr="006161CE" w:rsidRDefault="00ED205F" w:rsidP="00E32AFE">
      <w:pPr>
        <w:widowControl w:val="0"/>
        <w:spacing w:after="100" w:line="340" w:lineRule="exact"/>
        <w:ind w:firstLine="0"/>
        <w:jc w:val="both"/>
        <w:rPr>
          <w:rFonts w:ascii="Book Antiqua" w:hAnsi="Book Antiqua"/>
          <w:strike/>
        </w:rPr>
      </w:pPr>
      <w:r w:rsidRPr="006161CE">
        <w:rPr>
          <w:rFonts w:ascii="Book Antiqua" w:hAnsi="Book Antiqua"/>
        </w:rPr>
        <w:t xml:space="preserve">Per le ragioni esposte ed in considerazione della fondamentale regola di giudizio per cui è compito del Giudice utilizzare ogni strumento ermeneutico che gli consenta di pervenire ad una soluzione del caso sottoposto al suo esame </w:t>
      </w:r>
      <w:r w:rsidRPr="006161CE">
        <w:rPr>
          <w:rFonts w:ascii="Book Antiqua" w:hAnsi="Book Antiqua"/>
          <w:strike/>
        </w:rPr>
        <w:t>e</w:t>
      </w:r>
      <w:r w:rsidRPr="006161CE">
        <w:rPr>
          <w:rFonts w:ascii="Book Antiqua" w:hAnsi="Book Antiqua"/>
        </w:rPr>
        <w:t xml:space="preserve"> rispettosa di un principio di coerenza sistematica, si ritiene maggiormente aderente </w:t>
      </w:r>
      <w:r w:rsidR="00074D61">
        <w:rPr>
          <w:rFonts w:ascii="Book Antiqua" w:hAnsi="Book Antiqua"/>
        </w:rPr>
        <w:t xml:space="preserve">ai motivati parametri di riferimento,  in punto di diritto, </w:t>
      </w:r>
      <w:r w:rsidRPr="006161CE">
        <w:rPr>
          <w:rFonts w:ascii="Book Antiqua" w:hAnsi="Book Antiqua"/>
        </w:rPr>
        <w:t>accedere ad una interpretazione letterale della norma.</w:t>
      </w:r>
      <w:r w:rsidRPr="006161CE">
        <w:rPr>
          <w:rFonts w:ascii="Book Antiqua" w:hAnsi="Book Antiqua"/>
          <w:strike/>
        </w:rPr>
        <w:t xml:space="preserve"> </w:t>
      </w:r>
    </w:p>
    <w:p w:rsidR="000D5013" w:rsidRPr="006161CE" w:rsidRDefault="000D5013" w:rsidP="00EB3DDE">
      <w:pPr>
        <w:shd w:val="clear" w:color="auto" w:fill="FFFFFF"/>
        <w:spacing w:before="240" w:after="240" w:line="340" w:lineRule="exact"/>
        <w:ind w:left="3859" w:firstLine="227"/>
        <w:rPr>
          <w:rFonts w:ascii="Book Antiqua" w:hAnsi="Book Antiqua"/>
          <w:b/>
          <w:spacing w:val="20"/>
        </w:rPr>
      </w:pPr>
      <w:r w:rsidRPr="006161CE">
        <w:rPr>
          <w:rFonts w:ascii="Book Antiqua" w:hAnsi="Book Antiqua"/>
          <w:b/>
          <w:spacing w:val="20"/>
        </w:rPr>
        <w:lastRenderedPageBreak/>
        <w:t>P.Q.M.</w:t>
      </w:r>
    </w:p>
    <w:p w:rsidR="000D5013" w:rsidRPr="008A5ABD" w:rsidRDefault="00BC0F34" w:rsidP="00E32AFE">
      <w:pPr>
        <w:widowControl w:val="0"/>
        <w:spacing w:afterLines="100" w:after="240" w:line="340" w:lineRule="exact"/>
        <w:ind w:firstLine="0"/>
        <w:jc w:val="both"/>
        <w:rPr>
          <w:rFonts w:ascii="Book Antiqua" w:eastAsiaTheme="minorEastAsia" w:hAnsi="Book Antiqua"/>
          <w:spacing w:val="-4"/>
          <w:w w:val="105"/>
        </w:rPr>
      </w:pPr>
      <w:r w:rsidRPr="00AB168D">
        <w:rPr>
          <w:rFonts w:ascii="Book Antiqua" w:eastAsiaTheme="minorEastAsia" w:hAnsi="Book Antiqua"/>
          <w:spacing w:val="-4"/>
          <w:w w:val="105"/>
        </w:rPr>
        <w:t>La Sezione delle autonomie della Corte dei conti, pronunciandosi sulla questione di massima post</w:t>
      </w:r>
      <w:r w:rsidR="009413BA" w:rsidRPr="00AB168D">
        <w:rPr>
          <w:rFonts w:ascii="Book Antiqua" w:eastAsiaTheme="minorEastAsia" w:hAnsi="Book Antiqua"/>
          <w:spacing w:val="-4"/>
          <w:w w:val="105"/>
        </w:rPr>
        <w:t>a</w:t>
      </w:r>
      <w:r w:rsidRPr="00AB168D">
        <w:rPr>
          <w:rFonts w:ascii="Book Antiqua" w:eastAsiaTheme="minorEastAsia" w:hAnsi="Book Antiqua"/>
          <w:spacing w:val="-4"/>
          <w:w w:val="105"/>
        </w:rPr>
        <w:t xml:space="preserve"> dalla Sezione regionale di controllo per il Veneto con la deliberazione n. </w:t>
      </w:r>
      <w:r w:rsidRPr="008A5ABD">
        <w:rPr>
          <w:rFonts w:ascii="Book Antiqua" w:eastAsiaTheme="minorEastAsia" w:hAnsi="Book Antiqua"/>
          <w:spacing w:val="-4"/>
          <w:w w:val="105"/>
        </w:rPr>
        <w:t>192/2018/QMIG, enuncia il seguente principio di diritto:</w:t>
      </w:r>
    </w:p>
    <w:p w:rsidR="000D5013" w:rsidRPr="008A5ABD" w:rsidRDefault="000D5013" w:rsidP="00E32AFE">
      <w:pPr>
        <w:widowControl w:val="0"/>
        <w:spacing w:afterLines="100" w:after="240" w:line="340" w:lineRule="exact"/>
        <w:ind w:firstLine="0"/>
        <w:jc w:val="both"/>
        <w:rPr>
          <w:rFonts w:ascii="Book Antiqua" w:eastAsiaTheme="minorEastAsia" w:hAnsi="Book Antiqua"/>
          <w:i/>
          <w:spacing w:val="-4"/>
          <w:w w:val="105"/>
        </w:rPr>
      </w:pPr>
      <w:r w:rsidRPr="008A5ABD">
        <w:rPr>
          <w:rFonts w:ascii="Book Antiqua" w:eastAsiaTheme="minorEastAsia" w:hAnsi="Book Antiqua"/>
          <w:i/>
          <w:spacing w:val="-4"/>
          <w:w w:val="105"/>
        </w:rPr>
        <w:t>“</w:t>
      </w:r>
      <w:r w:rsidR="00170ADA" w:rsidRPr="008A5ABD">
        <w:rPr>
          <w:rFonts w:ascii="Book Antiqua" w:eastAsiaTheme="minorEastAsia" w:hAnsi="Book Antiqua"/>
          <w:i/>
          <w:spacing w:val="-4"/>
          <w:w w:val="105"/>
        </w:rPr>
        <w:t>In riforma del primo principio di diritto espresso nella delibera 21/SEZAUT/2015</w:t>
      </w:r>
      <w:r w:rsidR="00CA2E97" w:rsidRPr="008A5ABD">
        <w:rPr>
          <w:rFonts w:ascii="Book Antiqua" w:eastAsiaTheme="minorEastAsia" w:hAnsi="Book Antiqua"/>
          <w:i/>
          <w:spacing w:val="-4"/>
          <w:w w:val="105"/>
        </w:rPr>
        <w:t>/QMIG</w:t>
      </w:r>
      <w:r w:rsidR="00170ADA" w:rsidRPr="008A5ABD">
        <w:rPr>
          <w:rFonts w:ascii="Book Antiqua" w:eastAsiaTheme="minorEastAsia" w:hAnsi="Book Antiqua"/>
          <w:i/>
          <w:spacing w:val="-4"/>
          <w:w w:val="105"/>
        </w:rPr>
        <w:t>, alla luce della previsione di cu</w:t>
      </w:r>
      <w:r w:rsidR="00CA2E97" w:rsidRPr="008A5ABD">
        <w:rPr>
          <w:rFonts w:ascii="Book Antiqua" w:eastAsiaTheme="minorEastAsia" w:hAnsi="Book Antiqua"/>
          <w:i/>
          <w:spacing w:val="-4"/>
          <w:w w:val="105"/>
        </w:rPr>
        <w:t xml:space="preserve">i all’art. 10 comma 2-bis, del </w:t>
      </w:r>
      <w:proofErr w:type="spellStart"/>
      <w:r w:rsidR="00CA2E97" w:rsidRPr="008A5ABD">
        <w:rPr>
          <w:rFonts w:ascii="Book Antiqua" w:eastAsiaTheme="minorEastAsia" w:hAnsi="Book Antiqua"/>
          <w:i/>
          <w:spacing w:val="-4"/>
          <w:w w:val="105"/>
        </w:rPr>
        <w:t>d.l</w:t>
      </w:r>
      <w:r w:rsidR="00170ADA" w:rsidRPr="008A5ABD">
        <w:rPr>
          <w:rFonts w:ascii="Book Antiqua" w:eastAsiaTheme="minorEastAsia" w:hAnsi="Book Antiqua"/>
          <w:i/>
          <w:spacing w:val="-4"/>
          <w:w w:val="105"/>
        </w:rPr>
        <w:t>.</w:t>
      </w:r>
      <w:proofErr w:type="spellEnd"/>
      <w:r w:rsidR="00170ADA" w:rsidRPr="008A5ABD">
        <w:rPr>
          <w:rFonts w:ascii="Book Antiqua" w:eastAsiaTheme="minorEastAsia" w:hAnsi="Book Antiqua"/>
          <w:i/>
          <w:spacing w:val="-4"/>
          <w:w w:val="105"/>
        </w:rPr>
        <w:t xml:space="preserve"> 24 giugno 2014, n. 90, convertito, con modificazioni dalla legge 11 agosto 2014, n. 114, i diritti di rogito, nei limiti stabiliti dalla legge, competono ai segretari comunali di fascia C nonché ai Segretari comunali appartenenti alle fasce professionali A e B, qualora esercitino le loro funzioni presso enti nei quali siano assenti figure dirigenziali</w:t>
      </w:r>
      <w:r w:rsidRPr="008A5ABD">
        <w:rPr>
          <w:rFonts w:ascii="Book Antiqua" w:eastAsiaTheme="minorEastAsia" w:hAnsi="Book Antiqua"/>
          <w:i/>
          <w:spacing w:val="-4"/>
          <w:w w:val="105"/>
        </w:rPr>
        <w:t>”.</w:t>
      </w:r>
    </w:p>
    <w:p w:rsidR="000D5013" w:rsidRPr="00AB168D" w:rsidRDefault="000D5013" w:rsidP="00E32AFE">
      <w:pPr>
        <w:widowControl w:val="0"/>
        <w:spacing w:afterLines="100" w:after="240" w:line="340" w:lineRule="exact"/>
        <w:ind w:firstLine="0"/>
        <w:jc w:val="both"/>
        <w:rPr>
          <w:rFonts w:ascii="Book Antiqua" w:eastAsiaTheme="minorEastAsia" w:hAnsi="Book Antiqua"/>
          <w:spacing w:val="-4"/>
          <w:w w:val="105"/>
        </w:rPr>
      </w:pPr>
      <w:r w:rsidRPr="008A5ABD">
        <w:rPr>
          <w:rFonts w:ascii="Book Antiqua" w:eastAsiaTheme="minorEastAsia" w:hAnsi="Book Antiqua"/>
          <w:spacing w:val="-4"/>
          <w:w w:val="105"/>
        </w:rPr>
        <w:t>La Sezione regionale di controllo per il Veneto si atterrà al principio di diritto enunciato nel</w:t>
      </w:r>
      <w:r w:rsidRPr="00AB168D">
        <w:rPr>
          <w:rFonts w:ascii="Book Antiqua" w:eastAsiaTheme="minorEastAsia" w:hAnsi="Book Antiqua"/>
          <w:spacing w:val="-4"/>
          <w:w w:val="105"/>
        </w:rPr>
        <w:t xml:space="preserve"> presente atto di orientamento, al quale si conformeranno tutte le Sezioni regionali di controllo ai sensi dell’art. 6, comma 4, del </w:t>
      </w:r>
      <w:proofErr w:type="spellStart"/>
      <w:r w:rsidRPr="00AB168D">
        <w:rPr>
          <w:rFonts w:ascii="Book Antiqua" w:eastAsiaTheme="minorEastAsia" w:hAnsi="Book Antiqua"/>
          <w:spacing w:val="-4"/>
          <w:w w:val="105"/>
        </w:rPr>
        <w:t>d.l.</w:t>
      </w:r>
      <w:proofErr w:type="spellEnd"/>
      <w:r w:rsidRPr="00AB168D">
        <w:rPr>
          <w:rFonts w:ascii="Book Antiqua" w:eastAsiaTheme="minorEastAsia" w:hAnsi="Book Antiqua"/>
          <w:spacing w:val="-4"/>
          <w:w w:val="105"/>
        </w:rPr>
        <w:t xml:space="preserve"> 10 ottobre 2012, n. 174, convertito dalla legge 7 dicembre 2012, n. 213.</w:t>
      </w:r>
    </w:p>
    <w:p w:rsidR="006C4FC3" w:rsidRPr="006161CE" w:rsidRDefault="006C4FC3" w:rsidP="00E32AFE">
      <w:pPr>
        <w:tabs>
          <w:tab w:val="left" w:pos="0"/>
        </w:tabs>
        <w:spacing w:afterLines="100" w:after="240" w:line="340" w:lineRule="exact"/>
        <w:ind w:firstLine="0"/>
        <w:jc w:val="both"/>
        <w:rPr>
          <w:rFonts w:ascii="Book Antiqua" w:hAnsi="Book Antiqua"/>
        </w:rPr>
      </w:pPr>
      <w:r w:rsidRPr="006161CE">
        <w:rPr>
          <w:rFonts w:ascii="Book Antiqua" w:hAnsi="Book Antiqua"/>
        </w:rPr>
        <w:t xml:space="preserve">Così deliberato in Roma nell’adunanza del </w:t>
      </w:r>
      <w:r w:rsidR="007311A7" w:rsidRPr="006161CE">
        <w:rPr>
          <w:rFonts w:ascii="Book Antiqua" w:hAnsi="Book Antiqua"/>
        </w:rPr>
        <w:t>24 luglio</w:t>
      </w:r>
      <w:r w:rsidRPr="006161CE">
        <w:rPr>
          <w:rFonts w:ascii="Book Antiqua" w:hAnsi="Book Antiqua"/>
        </w:rPr>
        <w:t xml:space="preserve"> 201</w:t>
      </w:r>
      <w:r w:rsidR="009B6004" w:rsidRPr="006161CE">
        <w:rPr>
          <w:rFonts w:ascii="Book Antiqua" w:hAnsi="Book Antiqua"/>
        </w:rPr>
        <w:t>8</w:t>
      </w:r>
      <w:r w:rsidRPr="006161CE">
        <w:rPr>
          <w:rFonts w:ascii="Book Antiqua" w:hAnsi="Book Antiqua"/>
        </w:rPr>
        <w:t>.</w:t>
      </w:r>
    </w:p>
    <w:tbl>
      <w:tblPr>
        <w:tblW w:w="5222" w:type="pct"/>
        <w:jc w:val="center"/>
        <w:tblLook w:val="04A0" w:firstRow="1" w:lastRow="0" w:firstColumn="1" w:lastColumn="0" w:noHBand="0" w:noVBand="1"/>
      </w:tblPr>
      <w:tblGrid>
        <w:gridCol w:w="4678"/>
        <w:gridCol w:w="5388"/>
      </w:tblGrid>
      <w:tr w:rsidR="007C0D4A" w:rsidRPr="006161CE" w:rsidTr="00A224FD">
        <w:trPr>
          <w:trHeight w:val="380"/>
          <w:jc w:val="center"/>
        </w:trPr>
        <w:tc>
          <w:tcPr>
            <w:tcW w:w="4678" w:type="dxa"/>
            <w:vAlign w:val="center"/>
            <w:hideMark/>
          </w:tcPr>
          <w:p w:rsidR="0076064D" w:rsidRPr="006161CE" w:rsidRDefault="0076064D" w:rsidP="00C34D93">
            <w:pPr>
              <w:tabs>
                <w:tab w:val="left" w:pos="6229"/>
              </w:tabs>
              <w:spacing w:after="40" w:line="340" w:lineRule="exact"/>
              <w:ind w:firstLine="0"/>
              <w:jc w:val="center"/>
              <w:rPr>
                <w:rFonts w:ascii="Book Antiqua" w:eastAsia="Calibri" w:hAnsi="Book Antiqua"/>
                <w:lang w:eastAsia="en-US"/>
              </w:rPr>
            </w:pPr>
            <w:r w:rsidRPr="006161CE">
              <w:rPr>
                <w:rFonts w:ascii="Book Antiqua" w:eastAsia="Calibri" w:hAnsi="Book Antiqua"/>
                <w:lang w:eastAsia="en-US"/>
              </w:rPr>
              <w:t>I</w:t>
            </w:r>
            <w:r w:rsidR="001F3BC8" w:rsidRPr="006161CE">
              <w:rPr>
                <w:rFonts w:ascii="Book Antiqua" w:eastAsia="Calibri" w:hAnsi="Book Antiqua"/>
                <w:lang w:eastAsia="en-US"/>
              </w:rPr>
              <w:t xml:space="preserve"> Relator</w:t>
            </w:r>
            <w:r w:rsidR="00ED5117" w:rsidRPr="006161CE">
              <w:rPr>
                <w:rFonts w:ascii="Book Antiqua" w:eastAsia="Calibri" w:hAnsi="Book Antiqua"/>
                <w:lang w:eastAsia="en-US"/>
              </w:rPr>
              <w:t>i</w:t>
            </w:r>
          </w:p>
        </w:tc>
        <w:tc>
          <w:tcPr>
            <w:tcW w:w="5388" w:type="dxa"/>
            <w:vAlign w:val="center"/>
            <w:hideMark/>
          </w:tcPr>
          <w:p w:rsidR="0076064D" w:rsidRPr="006161CE" w:rsidRDefault="0076064D" w:rsidP="00C34D93">
            <w:pPr>
              <w:tabs>
                <w:tab w:val="left" w:pos="6229"/>
              </w:tabs>
              <w:spacing w:after="40" w:line="340" w:lineRule="exact"/>
              <w:ind w:firstLine="0"/>
              <w:jc w:val="center"/>
              <w:rPr>
                <w:rFonts w:ascii="Book Antiqua" w:eastAsia="Calibri" w:hAnsi="Book Antiqua"/>
                <w:lang w:eastAsia="en-US"/>
              </w:rPr>
            </w:pPr>
            <w:r w:rsidRPr="006161CE">
              <w:rPr>
                <w:rFonts w:ascii="Book Antiqua" w:eastAsia="Calibri" w:hAnsi="Book Antiqua"/>
                <w:lang w:eastAsia="en-US"/>
              </w:rPr>
              <w:t>Il Presidente</w:t>
            </w:r>
          </w:p>
        </w:tc>
      </w:tr>
      <w:tr w:rsidR="009B6004" w:rsidRPr="006161CE" w:rsidTr="00A224FD">
        <w:trPr>
          <w:trHeight w:val="80"/>
          <w:jc w:val="center"/>
        </w:trPr>
        <w:tc>
          <w:tcPr>
            <w:tcW w:w="4678" w:type="dxa"/>
            <w:vAlign w:val="center"/>
          </w:tcPr>
          <w:p w:rsidR="009B6004" w:rsidRPr="006161CE" w:rsidRDefault="00797444" w:rsidP="00A224FD">
            <w:pPr>
              <w:tabs>
                <w:tab w:val="left" w:pos="6229"/>
              </w:tabs>
              <w:spacing w:line="340" w:lineRule="exact"/>
              <w:ind w:firstLine="0"/>
              <w:jc w:val="center"/>
              <w:rPr>
                <w:rFonts w:ascii="Book Antiqua" w:eastAsia="Calibri" w:hAnsi="Book Antiqua"/>
                <w:lang w:eastAsia="en-US"/>
              </w:rPr>
            </w:pPr>
            <w:r>
              <w:rPr>
                <w:rFonts w:ascii="Book Antiqua" w:hAnsi="Book Antiqua"/>
              </w:rPr>
              <w:t xml:space="preserve">F.to </w:t>
            </w:r>
            <w:r w:rsidR="00A224FD" w:rsidRPr="006161CE">
              <w:rPr>
                <w:rFonts w:ascii="Book Antiqua" w:hAnsi="Book Antiqua"/>
              </w:rPr>
              <w:t>Rinieri FERONE</w:t>
            </w:r>
          </w:p>
        </w:tc>
        <w:tc>
          <w:tcPr>
            <w:tcW w:w="5388" w:type="dxa"/>
            <w:vAlign w:val="center"/>
          </w:tcPr>
          <w:p w:rsidR="009B6004" w:rsidRPr="006161CE" w:rsidRDefault="00797444" w:rsidP="00A224FD">
            <w:pPr>
              <w:tabs>
                <w:tab w:val="left" w:pos="6229"/>
              </w:tabs>
              <w:spacing w:after="40" w:line="340" w:lineRule="exact"/>
              <w:ind w:firstLine="0"/>
              <w:jc w:val="center"/>
              <w:rPr>
                <w:rFonts w:ascii="Book Antiqua" w:eastAsia="Calibri" w:hAnsi="Book Antiqua"/>
                <w:lang w:eastAsia="en-US"/>
              </w:rPr>
            </w:pPr>
            <w:r>
              <w:rPr>
                <w:rFonts w:ascii="Book Antiqua" w:hAnsi="Book Antiqua"/>
              </w:rPr>
              <w:t xml:space="preserve">F.to </w:t>
            </w:r>
            <w:r w:rsidR="00A224FD" w:rsidRPr="006161CE">
              <w:rPr>
                <w:rFonts w:ascii="Book Antiqua" w:eastAsia="Calibri" w:hAnsi="Book Antiqua"/>
                <w:lang w:eastAsia="en-US"/>
              </w:rPr>
              <w:t>Angelo BUSCEMA</w:t>
            </w:r>
          </w:p>
        </w:tc>
      </w:tr>
      <w:tr w:rsidR="009B6004" w:rsidRPr="006161CE" w:rsidTr="00A224FD">
        <w:trPr>
          <w:trHeight w:val="135"/>
          <w:jc w:val="center"/>
        </w:trPr>
        <w:tc>
          <w:tcPr>
            <w:tcW w:w="4678" w:type="dxa"/>
            <w:vAlign w:val="center"/>
          </w:tcPr>
          <w:p w:rsidR="009B6004" w:rsidRPr="006161CE" w:rsidRDefault="009B6004" w:rsidP="00476655">
            <w:pPr>
              <w:tabs>
                <w:tab w:val="left" w:pos="6229"/>
              </w:tabs>
              <w:spacing w:line="340" w:lineRule="exact"/>
              <w:ind w:firstLine="0"/>
              <w:jc w:val="center"/>
              <w:rPr>
                <w:rFonts w:ascii="Book Antiqua" w:hAnsi="Book Antiqua"/>
              </w:rPr>
            </w:pPr>
          </w:p>
        </w:tc>
        <w:tc>
          <w:tcPr>
            <w:tcW w:w="5388" w:type="dxa"/>
            <w:vAlign w:val="center"/>
          </w:tcPr>
          <w:p w:rsidR="009B6004" w:rsidRPr="006161CE" w:rsidRDefault="009B6004" w:rsidP="00C34D93">
            <w:pPr>
              <w:tabs>
                <w:tab w:val="left" w:pos="6229"/>
              </w:tabs>
              <w:spacing w:after="40" w:line="340" w:lineRule="exact"/>
              <w:ind w:firstLine="0"/>
              <w:jc w:val="center"/>
              <w:rPr>
                <w:rFonts w:ascii="Book Antiqua" w:eastAsia="Calibri" w:hAnsi="Book Antiqua"/>
                <w:lang w:eastAsia="en-US"/>
              </w:rPr>
            </w:pPr>
          </w:p>
        </w:tc>
      </w:tr>
      <w:tr w:rsidR="00ED5117" w:rsidRPr="006161CE" w:rsidTr="00A224FD">
        <w:trPr>
          <w:trHeight w:val="380"/>
          <w:jc w:val="center"/>
        </w:trPr>
        <w:tc>
          <w:tcPr>
            <w:tcW w:w="4678" w:type="dxa"/>
            <w:vAlign w:val="center"/>
          </w:tcPr>
          <w:p w:rsidR="00ED5117" w:rsidRPr="006161CE" w:rsidRDefault="00797444" w:rsidP="00A224FD">
            <w:pPr>
              <w:tabs>
                <w:tab w:val="left" w:pos="6229"/>
              </w:tabs>
              <w:spacing w:line="340" w:lineRule="exact"/>
              <w:ind w:firstLine="0"/>
              <w:jc w:val="center"/>
              <w:rPr>
                <w:rFonts w:ascii="Book Antiqua" w:hAnsi="Book Antiqua"/>
              </w:rPr>
            </w:pPr>
            <w:r>
              <w:rPr>
                <w:rFonts w:ascii="Book Antiqua" w:hAnsi="Book Antiqua"/>
              </w:rPr>
              <w:t xml:space="preserve">F.to </w:t>
            </w:r>
            <w:r w:rsidR="000D5013" w:rsidRPr="006161CE">
              <w:rPr>
                <w:rFonts w:ascii="Book Antiqua" w:hAnsi="Book Antiqua"/>
              </w:rPr>
              <w:t>Stefano GLINIANSKI</w:t>
            </w:r>
          </w:p>
        </w:tc>
        <w:tc>
          <w:tcPr>
            <w:tcW w:w="5388" w:type="dxa"/>
            <w:vAlign w:val="center"/>
          </w:tcPr>
          <w:p w:rsidR="00ED5117" w:rsidRPr="006161CE" w:rsidRDefault="00ED5117" w:rsidP="00C34D93">
            <w:pPr>
              <w:tabs>
                <w:tab w:val="left" w:pos="6229"/>
              </w:tabs>
              <w:spacing w:after="40" w:line="340" w:lineRule="exact"/>
              <w:ind w:firstLine="0"/>
              <w:jc w:val="center"/>
              <w:rPr>
                <w:rFonts w:ascii="Book Antiqua" w:hAnsi="Book Antiqua"/>
              </w:rPr>
            </w:pPr>
          </w:p>
        </w:tc>
      </w:tr>
      <w:tr w:rsidR="00ED5117" w:rsidRPr="006161CE" w:rsidTr="00A224FD">
        <w:trPr>
          <w:trHeight w:val="380"/>
          <w:jc w:val="center"/>
        </w:trPr>
        <w:tc>
          <w:tcPr>
            <w:tcW w:w="4678" w:type="dxa"/>
            <w:vAlign w:val="center"/>
          </w:tcPr>
          <w:p w:rsidR="00ED5117" w:rsidRPr="006161CE" w:rsidRDefault="00ED5117" w:rsidP="00476655">
            <w:pPr>
              <w:tabs>
                <w:tab w:val="left" w:pos="6229"/>
              </w:tabs>
              <w:spacing w:line="340" w:lineRule="exact"/>
              <w:ind w:firstLine="0"/>
              <w:jc w:val="center"/>
              <w:rPr>
                <w:rFonts w:ascii="Book Antiqua" w:hAnsi="Book Antiqua"/>
              </w:rPr>
            </w:pPr>
          </w:p>
        </w:tc>
        <w:tc>
          <w:tcPr>
            <w:tcW w:w="5388" w:type="dxa"/>
            <w:vAlign w:val="center"/>
          </w:tcPr>
          <w:p w:rsidR="00ED5117" w:rsidRPr="006161CE" w:rsidRDefault="00ED5117" w:rsidP="00C34D93">
            <w:pPr>
              <w:tabs>
                <w:tab w:val="left" w:pos="6229"/>
              </w:tabs>
              <w:spacing w:after="40" w:line="340" w:lineRule="exact"/>
              <w:ind w:firstLine="0"/>
              <w:jc w:val="center"/>
              <w:rPr>
                <w:rFonts w:ascii="Book Antiqua" w:hAnsi="Book Antiqua"/>
              </w:rPr>
            </w:pPr>
          </w:p>
        </w:tc>
      </w:tr>
    </w:tbl>
    <w:p w:rsidR="0076064D" w:rsidRPr="006161CE" w:rsidRDefault="00E3676A" w:rsidP="00476655">
      <w:pPr>
        <w:spacing w:after="120" w:line="340" w:lineRule="exact"/>
        <w:ind w:firstLine="709"/>
        <w:jc w:val="both"/>
        <w:rPr>
          <w:rStyle w:val="Enfasigrassetto"/>
          <w:rFonts w:ascii="Book Antiqua" w:hAnsi="Book Antiqua"/>
          <w:b w:val="0"/>
          <w:bCs/>
        </w:rPr>
      </w:pPr>
      <w:r w:rsidRPr="006161CE">
        <w:rPr>
          <w:rStyle w:val="Enfasigrassetto"/>
          <w:rFonts w:ascii="Book Antiqua" w:hAnsi="Book Antiqua"/>
          <w:b w:val="0"/>
          <w:bCs/>
        </w:rPr>
        <w:t>Depositata in s</w:t>
      </w:r>
      <w:r w:rsidR="0076064D" w:rsidRPr="006161CE">
        <w:rPr>
          <w:rStyle w:val="Enfasigrassetto"/>
          <w:rFonts w:ascii="Book Antiqua" w:hAnsi="Book Antiqua"/>
          <w:b w:val="0"/>
          <w:bCs/>
        </w:rPr>
        <w:t>egreteria il</w:t>
      </w:r>
      <w:r w:rsidR="00D528EA" w:rsidRPr="006161CE">
        <w:rPr>
          <w:rStyle w:val="Enfasigrassetto"/>
          <w:rFonts w:ascii="Book Antiqua" w:hAnsi="Book Antiqua"/>
          <w:b w:val="0"/>
          <w:bCs/>
        </w:rPr>
        <w:t xml:space="preserve"> </w:t>
      </w:r>
      <w:r w:rsidR="00797444">
        <w:rPr>
          <w:rStyle w:val="Enfasigrassetto"/>
          <w:rFonts w:ascii="Book Antiqua" w:hAnsi="Book Antiqua"/>
          <w:b w:val="0"/>
          <w:bCs/>
        </w:rPr>
        <w:t>30 luglio 2018</w:t>
      </w:r>
    </w:p>
    <w:p w:rsidR="0076064D" w:rsidRPr="006161CE" w:rsidRDefault="0076064D" w:rsidP="00C34D93">
      <w:pPr>
        <w:spacing w:line="340" w:lineRule="exact"/>
        <w:ind w:firstLine="0"/>
        <w:jc w:val="center"/>
        <w:rPr>
          <w:rStyle w:val="Enfasigrassetto"/>
          <w:rFonts w:ascii="Book Antiqua" w:hAnsi="Book Antiqua"/>
          <w:b w:val="0"/>
          <w:bCs/>
        </w:rPr>
      </w:pPr>
      <w:r w:rsidRPr="006161CE">
        <w:rPr>
          <w:rStyle w:val="Enfasigrassetto"/>
          <w:rFonts w:ascii="Book Antiqua" w:hAnsi="Book Antiqua"/>
          <w:b w:val="0"/>
          <w:bCs/>
        </w:rPr>
        <w:t>Il Dirigente</w:t>
      </w:r>
    </w:p>
    <w:p w:rsidR="00E60CF5" w:rsidRPr="006161CE" w:rsidRDefault="00797444" w:rsidP="003036F8">
      <w:pPr>
        <w:spacing w:after="120" w:line="340" w:lineRule="exact"/>
        <w:ind w:firstLine="0"/>
        <w:jc w:val="center"/>
        <w:rPr>
          <w:rFonts w:ascii="Book Antiqua" w:eastAsia="Times New Roman" w:hAnsi="Book Antiqua"/>
          <w:bCs/>
          <w:iCs/>
          <w:snapToGrid w:val="0"/>
          <w:spacing w:val="-4"/>
          <w:lang w:eastAsia="en-US"/>
        </w:rPr>
      </w:pPr>
      <w:r>
        <w:rPr>
          <w:rFonts w:ascii="Book Antiqua" w:hAnsi="Book Antiqua"/>
        </w:rPr>
        <w:t xml:space="preserve">F.to </w:t>
      </w:r>
      <w:bookmarkStart w:id="6" w:name="_GoBack"/>
      <w:bookmarkEnd w:id="6"/>
      <w:r w:rsidR="00916CCA" w:rsidRPr="006161CE">
        <w:rPr>
          <w:rStyle w:val="Enfasigrassetto"/>
          <w:rFonts w:ascii="Book Antiqua" w:hAnsi="Book Antiqua"/>
          <w:b w:val="0"/>
          <w:bCs/>
        </w:rPr>
        <w:t>Renato PROZZO</w:t>
      </w:r>
      <w:r w:rsidR="00E60CF5" w:rsidRPr="006161CE">
        <w:rPr>
          <w:rFonts w:ascii="Book Antiqua" w:eastAsia="Times New Roman" w:hAnsi="Book Antiqua"/>
          <w:bCs/>
          <w:iCs/>
          <w:snapToGrid w:val="0"/>
          <w:spacing w:val="-4"/>
          <w:lang w:eastAsia="en-US"/>
        </w:rPr>
        <w:t xml:space="preserve"> </w:t>
      </w:r>
    </w:p>
    <w:p w:rsidR="00E60CF5" w:rsidRPr="006161CE" w:rsidRDefault="00E60CF5" w:rsidP="009A454F">
      <w:pPr>
        <w:spacing w:line="360" w:lineRule="auto"/>
        <w:ind w:firstLine="0"/>
        <w:jc w:val="both"/>
        <w:rPr>
          <w:rFonts w:ascii="Book Antiqua" w:eastAsia="Times New Roman" w:hAnsi="Book Antiqua"/>
          <w:bCs/>
          <w:iCs/>
          <w:snapToGrid w:val="0"/>
          <w:spacing w:val="-4"/>
          <w:lang w:eastAsia="en-US"/>
        </w:rPr>
      </w:pPr>
    </w:p>
    <w:sectPr w:rsidR="00E60CF5" w:rsidRPr="006161CE" w:rsidSect="003C15E1">
      <w:footerReference w:type="default" r:id="rId10"/>
      <w:pgSz w:w="11906" w:h="16838" w:code="9"/>
      <w:pgMar w:top="1418" w:right="1134" w:bottom="1418" w:left="1134" w:header="709"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836" w:rsidRDefault="00DE1836">
      <w:r>
        <w:separator/>
      </w:r>
    </w:p>
  </w:endnote>
  <w:endnote w:type="continuationSeparator" w:id="0">
    <w:p w:rsidR="00DE1836" w:rsidRDefault="00DE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12D" w:rsidRDefault="00D8312D">
    <w:pPr>
      <w:pStyle w:val="Pidipagina"/>
      <w:jc w:val="center"/>
    </w:pPr>
    <w:r>
      <w:fldChar w:fldCharType="begin"/>
    </w:r>
    <w:r>
      <w:instrText>PAGE   \* MERGEFORMAT</w:instrText>
    </w:r>
    <w:r>
      <w:fldChar w:fldCharType="separate"/>
    </w:r>
    <w:r w:rsidR="00797444">
      <w:rPr>
        <w:noProof/>
      </w:rPr>
      <w:t>7</w:t>
    </w:r>
    <w:r>
      <w:fldChar w:fldCharType="end"/>
    </w:r>
  </w:p>
  <w:p w:rsidR="00D8312D" w:rsidRDefault="00D8312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836" w:rsidRDefault="00DE1836">
      <w:r>
        <w:separator/>
      </w:r>
    </w:p>
  </w:footnote>
  <w:footnote w:type="continuationSeparator" w:id="0">
    <w:p w:rsidR="00DE1836" w:rsidRDefault="00DE1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1D82"/>
    <w:multiLevelType w:val="hybridMultilevel"/>
    <w:tmpl w:val="044887CA"/>
    <w:lvl w:ilvl="0" w:tplc="AD32FD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641893"/>
    <w:multiLevelType w:val="hybridMultilevel"/>
    <w:tmpl w:val="E618B0C0"/>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88752D3"/>
    <w:multiLevelType w:val="hybridMultilevel"/>
    <w:tmpl w:val="709461B6"/>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0A191CA5"/>
    <w:multiLevelType w:val="hybridMultilevel"/>
    <w:tmpl w:val="1A407B98"/>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9868F2"/>
    <w:multiLevelType w:val="hybridMultilevel"/>
    <w:tmpl w:val="F9FA931A"/>
    <w:lvl w:ilvl="0" w:tplc="C74680DC">
      <w:start w:val="1"/>
      <w:numFmt w:val="lowerLetter"/>
      <w:lvlText w:val="%1)"/>
      <w:lvlJc w:val="left"/>
      <w:pPr>
        <w:ind w:left="927" w:hanging="360"/>
      </w:pPr>
      <w:rPr>
        <w:rFonts w:cs="Times New Roman" w:hint="default"/>
        <w:b/>
        <w:i/>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5" w15:restartNumberingAfterBreak="0">
    <w:nsid w:val="15EF2E2F"/>
    <w:multiLevelType w:val="hybridMultilevel"/>
    <w:tmpl w:val="C060BE94"/>
    <w:lvl w:ilvl="0" w:tplc="BB5E7CD0">
      <w:start w:val="1"/>
      <w:numFmt w:val="decimal"/>
      <w:lvlText w:val="%1."/>
      <w:lvlJc w:val="left"/>
      <w:pPr>
        <w:ind w:left="972" w:hanging="405"/>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19725CDC"/>
    <w:multiLevelType w:val="hybridMultilevel"/>
    <w:tmpl w:val="746E16A0"/>
    <w:lvl w:ilvl="0" w:tplc="3F4CBB3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DA54F3"/>
    <w:multiLevelType w:val="hybridMultilevel"/>
    <w:tmpl w:val="8824743C"/>
    <w:lvl w:ilvl="0" w:tplc="E82EDB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263008"/>
    <w:multiLevelType w:val="multilevel"/>
    <w:tmpl w:val="53A0865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5040" w:hanging="2520"/>
      </w:pPr>
      <w:rPr>
        <w:rFonts w:hint="default"/>
      </w:rPr>
    </w:lvl>
    <w:lvl w:ilvl="8">
      <w:start w:val="1"/>
      <w:numFmt w:val="decimal"/>
      <w:isLgl/>
      <w:lvlText w:val="%1.%2.%3.%4.%5.%6.%7.%8.%9."/>
      <w:lvlJc w:val="left"/>
      <w:pPr>
        <w:ind w:left="5400" w:hanging="2520"/>
      </w:pPr>
      <w:rPr>
        <w:rFonts w:hint="default"/>
      </w:rPr>
    </w:lvl>
  </w:abstractNum>
  <w:abstractNum w:abstractNumId="9" w15:restartNumberingAfterBreak="0">
    <w:nsid w:val="20FA437A"/>
    <w:multiLevelType w:val="hybridMultilevel"/>
    <w:tmpl w:val="E566FE38"/>
    <w:lvl w:ilvl="0" w:tplc="AD32FD1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1DF1CD9"/>
    <w:multiLevelType w:val="hybridMultilevel"/>
    <w:tmpl w:val="91701542"/>
    <w:lvl w:ilvl="0" w:tplc="8CF4EAE2">
      <w:start w:val="1"/>
      <w:numFmt w:val="decimal"/>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11" w15:restartNumberingAfterBreak="0">
    <w:nsid w:val="28BE4761"/>
    <w:multiLevelType w:val="hybridMultilevel"/>
    <w:tmpl w:val="459A9CFA"/>
    <w:lvl w:ilvl="0" w:tplc="F69AF792">
      <w:numFmt w:val="bullet"/>
      <w:lvlText w:val="-"/>
      <w:lvlJc w:val="left"/>
      <w:pPr>
        <w:ind w:left="927" w:hanging="360"/>
      </w:pPr>
      <w:rPr>
        <w:rFonts w:ascii="Verdana" w:eastAsia="Times New Roman" w:hAnsi="Verdana"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2" w15:restartNumberingAfterBreak="0">
    <w:nsid w:val="28D8244A"/>
    <w:multiLevelType w:val="hybridMultilevel"/>
    <w:tmpl w:val="83FCE7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AB106DC"/>
    <w:multiLevelType w:val="hybridMultilevel"/>
    <w:tmpl w:val="37F89B62"/>
    <w:lvl w:ilvl="0" w:tplc="021C6550">
      <w:start w:val="1"/>
      <w:numFmt w:val="decimal"/>
      <w:lvlText w:val="%1)"/>
      <w:lvlJc w:val="left"/>
      <w:pPr>
        <w:ind w:left="927" w:hanging="36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14" w15:restartNumberingAfterBreak="0">
    <w:nsid w:val="2C0D3B8C"/>
    <w:multiLevelType w:val="hybridMultilevel"/>
    <w:tmpl w:val="5E6A6B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D19447C"/>
    <w:multiLevelType w:val="hybridMultilevel"/>
    <w:tmpl w:val="0E981942"/>
    <w:lvl w:ilvl="0" w:tplc="6378819E">
      <w:start w:val="1"/>
      <w:numFmt w:val="upperLetter"/>
      <w:lvlText w:val="%1)"/>
      <w:lvlJc w:val="left"/>
      <w:pPr>
        <w:ind w:left="927" w:hanging="36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16" w15:restartNumberingAfterBreak="0">
    <w:nsid w:val="2DAE1A2D"/>
    <w:multiLevelType w:val="multilevel"/>
    <w:tmpl w:val="D40673F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0167D4A"/>
    <w:multiLevelType w:val="hybridMultilevel"/>
    <w:tmpl w:val="C8BA3DBC"/>
    <w:lvl w:ilvl="0" w:tplc="BF22FE7E">
      <w:numFmt w:val="bullet"/>
      <w:lvlText w:val="-"/>
      <w:lvlJc w:val="left"/>
      <w:pPr>
        <w:ind w:left="927" w:hanging="360"/>
      </w:pPr>
      <w:rPr>
        <w:rFonts w:ascii="Verdana" w:eastAsia="Times New Roman" w:hAnsi="Verdana"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8" w15:restartNumberingAfterBreak="0">
    <w:nsid w:val="35A70A5F"/>
    <w:multiLevelType w:val="hybridMultilevel"/>
    <w:tmpl w:val="8612D1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8874352"/>
    <w:multiLevelType w:val="hybridMultilevel"/>
    <w:tmpl w:val="D5BE6486"/>
    <w:lvl w:ilvl="0" w:tplc="13E216B4">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F52878"/>
    <w:multiLevelType w:val="hybridMultilevel"/>
    <w:tmpl w:val="FE8A8E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3AA1016"/>
    <w:multiLevelType w:val="hybridMultilevel"/>
    <w:tmpl w:val="C1E4BBEC"/>
    <w:lvl w:ilvl="0" w:tplc="ED625A3C">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5F467D4"/>
    <w:multiLevelType w:val="hybridMultilevel"/>
    <w:tmpl w:val="0A1291B0"/>
    <w:lvl w:ilvl="0" w:tplc="E50E0152">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B5D70B1"/>
    <w:multiLevelType w:val="hybridMultilevel"/>
    <w:tmpl w:val="3970E958"/>
    <w:lvl w:ilvl="0" w:tplc="CC14D89A">
      <w:start w:val="1"/>
      <w:numFmt w:val="lowerLetter"/>
      <w:lvlText w:val="%1)"/>
      <w:lvlJc w:val="left"/>
      <w:rPr>
        <w:rFonts w:ascii="Times New Roman" w:eastAsia="PMingLiU" w:hAnsi="Times New Roman" w:cs="Times New Roman" w:hint="default"/>
        <w:i w:val="0"/>
      </w:rPr>
    </w:lvl>
    <w:lvl w:ilvl="1" w:tplc="7604FE02">
      <w:start w:val="2"/>
      <w:numFmt w:val="lowerLetter"/>
      <w:lvlText w:val="%2)"/>
      <w:lvlJc w:val="left"/>
      <w:pPr>
        <w:tabs>
          <w:tab w:val="num" w:pos="4702"/>
        </w:tabs>
        <w:ind w:left="4702" w:hanging="360"/>
      </w:pPr>
      <w:rPr>
        <w:rFonts w:cs="Times New Roman" w:hint="default"/>
      </w:rPr>
    </w:lvl>
    <w:lvl w:ilvl="2" w:tplc="0410001B" w:tentative="1">
      <w:start w:val="1"/>
      <w:numFmt w:val="lowerRoman"/>
      <w:lvlText w:val="%3."/>
      <w:lvlJc w:val="right"/>
      <w:pPr>
        <w:ind w:left="5422" w:hanging="180"/>
      </w:pPr>
      <w:rPr>
        <w:rFonts w:cs="Times New Roman"/>
      </w:rPr>
    </w:lvl>
    <w:lvl w:ilvl="3" w:tplc="0410000F" w:tentative="1">
      <w:start w:val="1"/>
      <w:numFmt w:val="decimal"/>
      <w:lvlText w:val="%4."/>
      <w:lvlJc w:val="left"/>
      <w:pPr>
        <w:ind w:left="6142" w:hanging="360"/>
      </w:pPr>
      <w:rPr>
        <w:rFonts w:cs="Times New Roman"/>
      </w:rPr>
    </w:lvl>
    <w:lvl w:ilvl="4" w:tplc="04100019" w:tentative="1">
      <w:start w:val="1"/>
      <w:numFmt w:val="lowerLetter"/>
      <w:lvlText w:val="%5."/>
      <w:lvlJc w:val="left"/>
      <w:pPr>
        <w:ind w:left="6862" w:hanging="360"/>
      </w:pPr>
      <w:rPr>
        <w:rFonts w:cs="Times New Roman"/>
      </w:rPr>
    </w:lvl>
    <w:lvl w:ilvl="5" w:tplc="0410001B" w:tentative="1">
      <w:start w:val="1"/>
      <w:numFmt w:val="lowerRoman"/>
      <w:lvlText w:val="%6."/>
      <w:lvlJc w:val="right"/>
      <w:pPr>
        <w:ind w:left="7582" w:hanging="180"/>
      </w:pPr>
      <w:rPr>
        <w:rFonts w:cs="Times New Roman"/>
      </w:rPr>
    </w:lvl>
    <w:lvl w:ilvl="6" w:tplc="0410000F" w:tentative="1">
      <w:start w:val="1"/>
      <w:numFmt w:val="decimal"/>
      <w:lvlText w:val="%7."/>
      <w:lvlJc w:val="left"/>
      <w:pPr>
        <w:ind w:left="8302" w:hanging="360"/>
      </w:pPr>
      <w:rPr>
        <w:rFonts w:cs="Times New Roman"/>
      </w:rPr>
    </w:lvl>
    <w:lvl w:ilvl="7" w:tplc="04100019" w:tentative="1">
      <w:start w:val="1"/>
      <w:numFmt w:val="lowerLetter"/>
      <w:lvlText w:val="%8."/>
      <w:lvlJc w:val="left"/>
      <w:pPr>
        <w:ind w:left="9022" w:hanging="360"/>
      </w:pPr>
      <w:rPr>
        <w:rFonts w:cs="Times New Roman"/>
      </w:rPr>
    </w:lvl>
    <w:lvl w:ilvl="8" w:tplc="0410001B" w:tentative="1">
      <w:start w:val="1"/>
      <w:numFmt w:val="lowerRoman"/>
      <w:lvlText w:val="%9."/>
      <w:lvlJc w:val="right"/>
      <w:pPr>
        <w:ind w:left="9742" w:hanging="180"/>
      </w:pPr>
      <w:rPr>
        <w:rFonts w:cs="Times New Roman"/>
      </w:rPr>
    </w:lvl>
  </w:abstractNum>
  <w:abstractNum w:abstractNumId="24" w15:restartNumberingAfterBreak="0">
    <w:nsid w:val="531A4F8A"/>
    <w:multiLevelType w:val="hybridMultilevel"/>
    <w:tmpl w:val="5E0ECD32"/>
    <w:lvl w:ilvl="0" w:tplc="7E40EA9A">
      <w:start w:val="1"/>
      <w:numFmt w:val="bullet"/>
      <w:lvlText w:val=""/>
      <w:lvlJc w:val="left"/>
      <w:pPr>
        <w:tabs>
          <w:tab w:val="num" w:pos="709"/>
        </w:tabs>
        <w:ind w:left="0" w:firstLine="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574B242E"/>
    <w:multiLevelType w:val="hybridMultilevel"/>
    <w:tmpl w:val="53D80916"/>
    <w:lvl w:ilvl="0" w:tplc="E82EDB72">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26" w15:restartNumberingAfterBreak="0">
    <w:nsid w:val="57F47060"/>
    <w:multiLevelType w:val="hybridMultilevel"/>
    <w:tmpl w:val="AA0058AC"/>
    <w:lvl w:ilvl="0" w:tplc="7E40EA9A">
      <w:start w:val="1"/>
      <w:numFmt w:val="bullet"/>
      <w:lvlText w:val=""/>
      <w:lvlJc w:val="left"/>
      <w:pPr>
        <w:tabs>
          <w:tab w:val="num" w:pos="709"/>
        </w:tabs>
        <w:ind w:left="0" w:firstLine="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583A7151"/>
    <w:multiLevelType w:val="hybridMultilevel"/>
    <w:tmpl w:val="6D6EA63C"/>
    <w:lvl w:ilvl="0" w:tplc="E70A13FE">
      <w:start w:val="1"/>
      <w:numFmt w:val="bullet"/>
      <w:lvlText w:val=""/>
      <w:lvlJc w:val="left"/>
      <w:pPr>
        <w:tabs>
          <w:tab w:val="num" w:pos="709"/>
        </w:tabs>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586E4AE3"/>
    <w:multiLevelType w:val="hybridMultilevel"/>
    <w:tmpl w:val="465ED0A2"/>
    <w:lvl w:ilvl="0" w:tplc="E82EDB72">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9" w15:restartNumberingAfterBreak="0">
    <w:nsid w:val="5FA92F37"/>
    <w:multiLevelType w:val="hybridMultilevel"/>
    <w:tmpl w:val="45C86260"/>
    <w:lvl w:ilvl="0" w:tplc="88FE1C62">
      <w:start w:val="1"/>
      <w:numFmt w:val="decimal"/>
      <w:lvlText w:val="%1."/>
      <w:lvlJc w:val="left"/>
      <w:pPr>
        <w:tabs>
          <w:tab w:val="num" w:pos="709"/>
        </w:tabs>
        <w:ind w:left="0" w:firstLine="0"/>
      </w:pPr>
      <w:rPr>
        <w:rFonts w:hint="default"/>
        <w:b/>
      </w:rPr>
    </w:lvl>
    <w:lvl w:ilvl="1" w:tplc="04100019" w:tentative="1">
      <w:start w:val="1"/>
      <w:numFmt w:val="lowerLetter"/>
      <w:lvlText w:val="%2."/>
      <w:lvlJc w:val="left"/>
      <w:pPr>
        <w:ind w:left="1667" w:hanging="360"/>
      </w:pPr>
    </w:lvl>
    <w:lvl w:ilvl="2" w:tplc="0410001B" w:tentative="1">
      <w:start w:val="1"/>
      <w:numFmt w:val="lowerRoman"/>
      <w:lvlText w:val="%3."/>
      <w:lvlJc w:val="right"/>
      <w:pPr>
        <w:ind w:left="2387" w:hanging="180"/>
      </w:pPr>
    </w:lvl>
    <w:lvl w:ilvl="3" w:tplc="0410000F" w:tentative="1">
      <w:start w:val="1"/>
      <w:numFmt w:val="decimal"/>
      <w:lvlText w:val="%4."/>
      <w:lvlJc w:val="left"/>
      <w:pPr>
        <w:ind w:left="3107" w:hanging="360"/>
      </w:pPr>
    </w:lvl>
    <w:lvl w:ilvl="4" w:tplc="04100019" w:tentative="1">
      <w:start w:val="1"/>
      <w:numFmt w:val="lowerLetter"/>
      <w:lvlText w:val="%5."/>
      <w:lvlJc w:val="left"/>
      <w:pPr>
        <w:ind w:left="3827" w:hanging="360"/>
      </w:pPr>
    </w:lvl>
    <w:lvl w:ilvl="5" w:tplc="0410001B" w:tentative="1">
      <w:start w:val="1"/>
      <w:numFmt w:val="lowerRoman"/>
      <w:lvlText w:val="%6."/>
      <w:lvlJc w:val="right"/>
      <w:pPr>
        <w:ind w:left="4547" w:hanging="180"/>
      </w:pPr>
    </w:lvl>
    <w:lvl w:ilvl="6" w:tplc="0410000F" w:tentative="1">
      <w:start w:val="1"/>
      <w:numFmt w:val="decimal"/>
      <w:lvlText w:val="%7."/>
      <w:lvlJc w:val="left"/>
      <w:pPr>
        <w:ind w:left="5267" w:hanging="360"/>
      </w:pPr>
    </w:lvl>
    <w:lvl w:ilvl="7" w:tplc="04100019" w:tentative="1">
      <w:start w:val="1"/>
      <w:numFmt w:val="lowerLetter"/>
      <w:lvlText w:val="%8."/>
      <w:lvlJc w:val="left"/>
      <w:pPr>
        <w:ind w:left="5987" w:hanging="360"/>
      </w:pPr>
    </w:lvl>
    <w:lvl w:ilvl="8" w:tplc="0410001B" w:tentative="1">
      <w:start w:val="1"/>
      <w:numFmt w:val="lowerRoman"/>
      <w:lvlText w:val="%9."/>
      <w:lvlJc w:val="right"/>
      <w:pPr>
        <w:ind w:left="6707" w:hanging="180"/>
      </w:pPr>
    </w:lvl>
  </w:abstractNum>
  <w:abstractNum w:abstractNumId="30" w15:restartNumberingAfterBreak="0">
    <w:nsid w:val="5FB9035D"/>
    <w:multiLevelType w:val="hybridMultilevel"/>
    <w:tmpl w:val="77B626D0"/>
    <w:lvl w:ilvl="0" w:tplc="758E5FE6">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1" w15:restartNumberingAfterBreak="0">
    <w:nsid w:val="66581DBD"/>
    <w:multiLevelType w:val="hybridMultilevel"/>
    <w:tmpl w:val="4644FD6E"/>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2" w15:restartNumberingAfterBreak="0">
    <w:nsid w:val="693F5A33"/>
    <w:multiLevelType w:val="hybridMultilevel"/>
    <w:tmpl w:val="12E06F98"/>
    <w:lvl w:ilvl="0" w:tplc="4FA0256C">
      <w:start w:val="1"/>
      <w:numFmt w:val="decimal"/>
      <w:lvlText w:val="%1."/>
      <w:lvlJc w:val="left"/>
      <w:pPr>
        <w:ind w:left="972" w:hanging="405"/>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3" w15:restartNumberingAfterBreak="0">
    <w:nsid w:val="6CD20274"/>
    <w:multiLevelType w:val="multilevel"/>
    <w:tmpl w:val="7A36FBA4"/>
    <w:lvl w:ilvl="0">
      <w:start w:val="1"/>
      <w:numFmt w:val="bullet"/>
      <w:lvlText w:val="o"/>
      <w:lvlJc w:val="left"/>
      <w:pPr>
        <w:ind w:left="720" w:hanging="360"/>
      </w:pPr>
      <w:rPr>
        <w:rFonts w:ascii="Courier New" w:hAnsi="Courier New" w:cs="Courier New" w:hint="default"/>
        <w:b/>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0780BFD"/>
    <w:multiLevelType w:val="hybridMultilevel"/>
    <w:tmpl w:val="AB7405FC"/>
    <w:lvl w:ilvl="0" w:tplc="6D54AD74">
      <w:start w:val="1"/>
      <w:numFmt w:val="decimal"/>
      <w:lvlText w:val="%1."/>
      <w:lvlJc w:val="left"/>
      <w:pPr>
        <w:ind w:left="720" w:hanging="360"/>
      </w:pPr>
      <w:rPr>
        <w:rFonts w:ascii="Verdana" w:hAnsi="Verdan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6795DEE"/>
    <w:multiLevelType w:val="hybridMultilevel"/>
    <w:tmpl w:val="B1A6B8B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7781541D"/>
    <w:multiLevelType w:val="hybridMultilevel"/>
    <w:tmpl w:val="4BFA21D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7E9F67AC"/>
    <w:multiLevelType w:val="hybridMultilevel"/>
    <w:tmpl w:val="1BF876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1"/>
  </w:num>
  <w:num w:numId="3">
    <w:abstractNumId w:val="17"/>
  </w:num>
  <w:num w:numId="4">
    <w:abstractNumId w:val="13"/>
  </w:num>
  <w:num w:numId="5">
    <w:abstractNumId w:val="15"/>
  </w:num>
  <w:num w:numId="6">
    <w:abstractNumId w:val="10"/>
  </w:num>
  <w:num w:numId="7">
    <w:abstractNumId w:val="35"/>
  </w:num>
  <w:num w:numId="8">
    <w:abstractNumId w:val="23"/>
  </w:num>
  <w:num w:numId="9">
    <w:abstractNumId w:val="16"/>
  </w:num>
  <w:num w:numId="10">
    <w:abstractNumId w:val="19"/>
  </w:num>
  <w:num w:numId="11">
    <w:abstractNumId w:val="33"/>
  </w:num>
  <w:num w:numId="12">
    <w:abstractNumId w:val="32"/>
  </w:num>
  <w:num w:numId="13">
    <w:abstractNumId w:val="5"/>
  </w:num>
  <w:num w:numId="14">
    <w:abstractNumId w:val="29"/>
  </w:num>
  <w:num w:numId="15">
    <w:abstractNumId w:val="27"/>
  </w:num>
  <w:num w:numId="16">
    <w:abstractNumId w:val="36"/>
  </w:num>
  <w:num w:numId="17">
    <w:abstractNumId w:val="24"/>
  </w:num>
  <w:num w:numId="18">
    <w:abstractNumId w:val="26"/>
  </w:num>
  <w:num w:numId="19">
    <w:abstractNumId w:val="20"/>
  </w:num>
  <w:num w:numId="20">
    <w:abstractNumId w:val="3"/>
  </w:num>
  <w:num w:numId="21">
    <w:abstractNumId w:val="18"/>
  </w:num>
  <w:num w:numId="22">
    <w:abstractNumId w:val="30"/>
  </w:num>
  <w:num w:numId="23">
    <w:abstractNumId w:val="22"/>
  </w:num>
  <w:num w:numId="24">
    <w:abstractNumId w:val="21"/>
  </w:num>
  <w:num w:numId="25">
    <w:abstractNumId w:val="31"/>
  </w:num>
  <w:num w:numId="26">
    <w:abstractNumId w:val="1"/>
  </w:num>
  <w:num w:numId="27">
    <w:abstractNumId w:val="2"/>
  </w:num>
  <w:num w:numId="28">
    <w:abstractNumId w:val="28"/>
  </w:num>
  <w:num w:numId="29">
    <w:abstractNumId w:val="7"/>
  </w:num>
  <w:num w:numId="30">
    <w:abstractNumId w:val="25"/>
  </w:num>
  <w:num w:numId="31">
    <w:abstractNumId w:val="37"/>
  </w:num>
  <w:num w:numId="32">
    <w:abstractNumId w:val="6"/>
  </w:num>
  <w:num w:numId="33">
    <w:abstractNumId w:val="8"/>
  </w:num>
  <w:num w:numId="34">
    <w:abstractNumId w:val="34"/>
  </w:num>
  <w:num w:numId="35">
    <w:abstractNumId w:val="12"/>
  </w:num>
  <w:num w:numId="36">
    <w:abstractNumId w:val="0"/>
  </w:num>
  <w:num w:numId="37">
    <w:abstractNumId w:val="9"/>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227"/>
  <w:hyphenationZone w:val="283"/>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80"/>
    <w:rsid w:val="0000644B"/>
    <w:rsid w:val="0001107F"/>
    <w:rsid w:val="00011E9A"/>
    <w:rsid w:val="0001244F"/>
    <w:rsid w:val="000149B6"/>
    <w:rsid w:val="00014B97"/>
    <w:rsid w:val="00014DE1"/>
    <w:rsid w:val="0001564D"/>
    <w:rsid w:val="00022730"/>
    <w:rsid w:val="000237DC"/>
    <w:rsid w:val="00027790"/>
    <w:rsid w:val="0003202A"/>
    <w:rsid w:val="00032981"/>
    <w:rsid w:val="00034E31"/>
    <w:rsid w:val="00036806"/>
    <w:rsid w:val="00041810"/>
    <w:rsid w:val="00041F8A"/>
    <w:rsid w:val="00043052"/>
    <w:rsid w:val="00043FBC"/>
    <w:rsid w:val="000478C6"/>
    <w:rsid w:val="000562F7"/>
    <w:rsid w:val="000563D9"/>
    <w:rsid w:val="00056F0C"/>
    <w:rsid w:val="00060C37"/>
    <w:rsid w:val="00062536"/>
    <w:rsid w:val="000627C6"/>
    <w:rsid w:val="00062E5F"/>
    <w:rsid w:val="0006391E"/>
    <w:rsid w:val="00064C29"/>
    <w:rsid w:val="000704B1"/>
    <w:rsid w:val="00070E76"/>
    <w:rsid w:val="00074AAF"/>
    <w:rsid w:val="00074D61"/>
    <w:rsid w:val="000857B1"/>
    <w:rsid w:val="000860B3"/>
    <w:rsid w:val="00087725"/>
    <w:rsid w:val="00087A71"/>
    <w:rsid w:val="000902FD"/>
    <w:rsid w:val="00091025"/>
    <w:rsid w:val="00093D97"/>
    <w:rsid w:val="00093F34"/>
    <w:rsid w:val="00097A50"/>
    <w:rsid w:val="000A03C9"/>
    <w:rsid w:val="000A1684"/>
    <w:rsid w:val="000A18C3"/>
    <w:rsid w:val="000A2843"/>
    <w:rsid w:val="000A314E"/>
    <w:rsid w:val="000A3BBF"/>
    <w:rsid w:val="000A4816"/>
    <w:rsid w:val="000A4B9C"/>
    <w:rsid w:val="000A4D54"/>
    <w:rsid w:val="000A6B4E"/>
    <w:rsid w:val="000B079A"/>
    <w:rsid w:val="000B192D"/>
    <w:rsid w:val="000B2452"/>
    <w:rsid w:val="000B5C90"/>
    <w:rsid w:val="000B71F1"/>
    <w:rsid w:val="000C0C90"/>
    <w:rsid w:val="000C0CF4"/>
    <w:rsid w:val="000C1057"/>
    <w:rsid w:val="000C1258"/>
    <w:rsid w:val="000C2ECC"/>
    <w:rsid w:val="000C355B"/>
    <w:rsid w:val="000C3B3A"/>
    <w:rsid w:val="000C638A"/>
    <w:rsid w:val="000D1DBA"/>
    <w:rsid w:val="000D5013"/>
    <w:rsid w:val="000E034C"/>
    <w:rsid w:val="000E09A6"/>
    <w:rsid w:val="000E11B7"/>
    <w:rsid w:val="000E1E35"/>
    <w:rsid w:val="000E3146"/>
    <w:rsid w:val="000E6845"/>
    <w:rsid w:val="000E684F"/>
    <w:rsid w:val="000F1EA9"/>
    <w:rsid w:val="000F3677"/>
    <w:rsid w:val="000F6822"/>
    <w:rsid w:val="000F6E58"/>
    <w:rsid w:val="000F7B9F"/>
    <w:rsid w:val="000F7DCE"/>
    <w:rsid w:val="001025F6"/>
    <w:rsid w:val="00103D6B"/>
    <w:rsid w:val="00104A6F"/>
    <w:rsid w:val="00106827"/>
    <w:rsid w:val="001133B3"/>
    <w:rsid w:val="00114A19"/>
    <w:rsid w:val="00120431"/>
    <w:rsid w:val="00120BF8"/>
    <w:rsid w:val="00120E3C"/>
    <w:rsid w:val="0012366F"/>
    <w:rsid w:val="001240F7"/>
    <w:rsid w:val="00130A1D"/>
    <w:rsid w:val="00131310"/>
    <w:rsid w:val="001319B6"/>
    <w:rsid w:val="001340FC"/>
    <w:rsid w:val="00135D32"/>
    <w:rsid w:val="0014168B"/>
    <w:rsid w:val="00142ECF"/>
    <w:rsid w:val="00143E9D"/>
    <w:rsid w:val="00144F6E"/>
    <w:rsid w:val="0014596F"/>
    <w:rsid w:val="00145A73"/>
    <w:rsid w:val="001520C1"/>
    <w:rsid w:val="00155FAB"/>
    <w:rsid w:val="0016291B"/>
    <w:rsid w:val="00163632"/>
    <w:rsid w:val="00163F2D"/>
    <w:rsid w:val="00166AF1"/>
    <w:rsid w:val="00166EF6"/>
    <w:rsid w:val="00170ADA"/>
    <w:rsid w:val="00170D0D"/>
    <w:rsid w:val="00170DF4"/>
    <w:rsid w:val="00171B65"/>
    <w:rsid w:val="00171B7E"/>
    <w:rsid w:val="00172433"/>
    <w:rsid w:val="001730B6"/>
    <w:rsid w:val="00175972"/>
    <w:rsid w:val="00176858"/>
    <w:rsid w:val="00176A4E"/>
    <w:rsid w:val="00177691"/>
    <w:rsid w:val="0018302D"/>
    <w:rsid w:val="00186D69"/>
    <w:rsid w:val="00190203"/>
    <w:rsid w:val="00191B88"/>
    <w:rsid w:val="0019234D"/>
    <w:rsid w:val="00193495"/>
    <w:rsid w:val="00193AA3"/>
    <w:rsid w:val="0019543B"/>
    <w:rsid w:val="00195E55"/>
    <w:rsid w:val="00197C14"/>
    <w:rsid w:val="001A1A7F"/>
    <w:rsid w:val="001A1CE8"/>
    <w:rsid w:val="001A2FE3"/>
    <w:rsid w:val="001A3C5C"/>
    <w:rsid w:val="001A4C6D"/>
    <w:rsid w:val="001A576D"/>
    <w:rsid w:val="001B0D6A"/>
    <w:rsid w:val="001B11FA"/>
    <w:rsid w:val="001B221F"/>
    <w:rsid w:val="001B2D2B"/>
    <w:rsid w:val="001C0618"/>
    <w:rsid w:val="001C16A3"/>
    <w:rsid w:val="001C28BE"/>
    <w:rsid w:val="001C3F41"/>
    <w:rsid w:val="001D1C85"/>
    <w:rsid w:val="001D4079"/>
    <w:rsid w:val="001D7B0A"/>
    <w:rsid w:val="001E02AA"/>
    <w:rsid w:val="001E2D29"/>
    <w:rsid w:val="001E4CC1"/>
    <w:rsid w:val="001E639F"/>
    <w:rsid w:val="001F13B3"/>
    <w:rsid w:val="001F1A7A"/>
    <w:rsid w:val="001F2BB6"/>
    <w:rsid w:val="001F3BC8"/>
    <w:rsid w:val="001F48B2"/>
    <w:rsid w:val="001F51D3"/>
    <w:rsid w:val="001F55D9"/>
    <w:rsid w:val="001F6C6B"/>
    <w:rsid w:val="001F7B44"/>
    <w:rsid w:val="002044D8"/>
    <w:rsid w:val="00205B62"/>
    <w:rsid w:val="002102BE"/>
    <w:rsid w:val="0021564F"/>
    <w:rsid w:val="00215C19"/>
    <w:rsid w:val="00221120"/>
    <w:rsid w:val="002216AC"/>
    <w:rsid w:val="00222770"/>
    <w:rsid w:val="00222895"/>
    <w:rsid w:val="00222914"/>
    <w:rsid w:val="00226967"/>
    <w:rsid w:val="0023039F"/>
    <w:rsid w:val="00233296"/>
    <w:rsid w:val="0023377D"/>
    <w:rsid w:val="00234F25"/>
    <w:rsid w:val="00237722"/>
    <w:rsid w:val="0024000F"/>
    <w:rsid w:val="00240CDB"/>
    <w:rsid w:val="0024137B"/>
    <w:rsid w:val="00245EB0"/>
    <w:rsid w:val="00246319"/>
    <w:rsid w:val="00247CCC"/>
    <w:rsid w:val="00247EE7"/>
    <w:rsid w:val="00250E46"/>
    <w:rsid w:val="00251B07"/>
    <w:rsid w:val="00252736"/>
    <w:rsid w:val="00252781"/>
    <w:rsid w:val="00252915"/>
    <w:rsid w:val="00254D8A"/>
    <w:rsid w:val="00263EBF"/>
    <w:rsid w:val="00264FA7"/>
    <w:rsid w:val="00264FD6"/>
    <w:rsid w:val="00265381"/>
    <w:rsid w:val="002659FF"/>
    <w:rsid w:val="00267676"/>
    <w:rsid w:val="0027039E"/>
    <w:rsid w:val="002717D2"/>
    <w:rsid w:val="00274665"/>
    <w:rsid w:val="00276E8A"/>
    <w:rsid w:val="002771CF"/>
    <w:rsid w:val="00284229"/>
    <w:rsid w:val="0028608B"/>
    <w:rsid w:val="00286723"/>
    <w:rsid w:val="00286CD3"/>
    <w:rsid w:val="00293914"/>
    <w:rsid w:val="0029451E"/>
    <w:rsid w:val="00294D7A"/>
    <w:rsid w:val="00297349"/>
    <w:rsid w:val="002A21E1"/>
    <w:rsid w:val="002A314E"/>
    <w:rsid w:val="002A560F"/>
    <w:rsid w:val="002A777D"/>
    <w:rsid w:val="002B09E4"/>
    <w:rsid w:val="002B0C27"/>
    <w:rsid w:val="002B30F4"/>
    <w:rsid w:val="002B365E"/>
    <w:rsid w:val="002B3CA2"/>
    <w:rsid w:val="002B6E69"/>
    <w:rsid w:val="002B6F9E"/>
    <w:rsid w:val="002C0439"/>
    <w:rsid w:val="002C17DD"/>
    <w:rsid w:val="002C3E86"/>
    <w:rsid w:val="002C4E08"/>
    <w:rsid w:val="002C6416"/>
    <w:rsid w:val="002D41FA"/>
    <w:rsid w:val="002D62EF"/>
    <w:rsid w:val="002E0414"/>
    <w:rsid w:val="002E1A23"/>
    <w:rsid w:val="002E440F"/>
    <w:rsid w:val="002F0108"/>
    <w:rsid w:val="002F38F2"/>
    <w:rsid w:val="002F4F97"/>
    <w:rsid w:val="00301036"/>
    <w:rsid w:val="00301B8A"/>
    <w:rsid w:val="003036F8"/>
    <w:rsid w:val="003058EE"/>
    <w:rsid w:val="003112F3"/>
    <w:rsid w:val="00311F10"/>
    <w:rsid w:val="00320254"/>
    <w:rsid w:val="0033297B"/>
    <w:rsid w:val="003348CC"/>
    <w:rsid w:val="00334AE7"/>
    <w:rsid w:val="00341AD7"/>
    <w:rsid w:val="00341F64"/>
    <w:rsid w:val="00343C5F"/>
    <w:rsid w:val="00344164"/>
    <w:rsid w:val="00344835"/>
    <w:rsid w:val="0034798E"/>
    <w:rsid w:val="00352EFA"/>
    <w:rsid w:val="003544CF"/>
    <w:rsid w:val="00354997"/>
    <w:rsid w:val="00354BFA"/>
    <w:rsid w:val="003558B1"/>
    <w:rsid w:val="003613BC"/>
    <w:rsid w:val="00362793"/>
    <w:rsid w:val="00362917"/>
    <w:rsid w:val="003653EE"/>
    <w:rsid w:val="00365FB1"/>
    <w:rsid w:val="0036625C"/>
    <w:rsid w:val="00366CCD"/>
    <w:rsid w:val="00367AE0"/>
    <w:rsid w:val="00371945"/>
    <w:rsid w:val="00372CF7"/>
    <w:rsid w:val="0037454B"/>
    <w:rsid w:val="0037461D"/>
    <w:rsid w:val="00376977"/>
    <w:rsid w:val="00376BB0"/>
    <w:rsid w:val="00376BE2"/>
    <w:rsid w:val="00380FC8"/>
    <w:rsid w:val="00382720"/>
    <w:rsid w:val="003828EF"/>
    <w:rsid w:val="0038752B"/>
    <w:rsid w:val="00387BE9"/>
    <w:rsid w:val="003917A1"/>
    <w:rsid w:val="003920DD"/>
    <w:rsid w:val="00393D7B"/>
    <w:rsid w:val="00393F52"/>
    <w:rsid w:val="00394397"/>
    <w:rsid w:val="00394471"/>
    <w:rsid w:val="003A0E9A"/>
    <w:rsid w:val="003A1708"/>
    <w:rsid w:val="003A4212"/>
    <w:rsid w:val="003A4565"/>
    <w:rsid w:val="003A4D91"/>
    <w:rsid w:val="003A4DD3"/>
    <w:rsid w:val="003B66B3"/>
    <w:rsid w:val="003B6F61"/>
    <w:rsid w:val="003C15E1"/>
    <w:rsid w:val="003C1980"/>
    <w:rsid w:val="003C2453"/>
    <w:rsid w:val="003C2583"/>
    <w:rsid w:val="003C6D20"/>
    <w:rsid w:val="003D086F"/>
    <w:rsid w:val="003D17F9"/>
    <w:rsid w:val="003D26AB"/>
    <w:rsid w:val="003D27A3"/>
    <w:rsid w:val="003D2FF7"/>
    <w:rsid w:val="003D410C"/>
    <w:rsid w:val="003D6982"/>
    <w:rsid w:val="003D7EF9"/>
    <w:rsid w:val="003E277F"/>
    <w:rsid w:val="003E2A85"/>
    <w:rsid w:val="003E4453"/>
    <w:rsid w:val="003E4F41"/>
    <w:rsid w:val="003E5060"/>
    <w:rsid w:val="003E5DE4"/>
    <w:rsid w:val="003E71D4"/>
    <w:rsid w:val="003E775A"/>
    <w:rsid w:val="003F0B2C"/>
    <w:rsid w:val="003F243C"/>
    <w:rsid w:val="003F677B"/>
    <w:rsid w:val="003F76A6"/>
    <w:rsid w:val="00404029"/>
    <w:rsid w:val="004074EC"/>
    <w:rsid w:val="004075F1"/>
    <w:rsid w:val="004139D4"/>
    <w:rsid w:val="0041725E"/>
    <w:rsid w:val="004213BC"/>
    <w:rsid w:val="004302E9"/>
    <w:rsid w:val="00430CA7"/>
    <w:rsid w:val="00431834"/>
    <w:rsid w:val="00432E9E"/>
    <w:rsid w:val="00433277"/>
    <w:rsid w:val="004346EE"/>
    <w:rsid w:val="00435994"/>
    <w:rsid w:val="00440BAE"/>
    <w:rsid w:val="00445174"/>
    <w:rsid w:val="0044665B"/>
    <w:rsid w:val="00452472"/>
    <w:rsid w:val="00453194"/>
    <w:rsid w:val="00457253"/>
    <w:rsid w:val="00464015"/>
    <w:rsid w:val="00464E48"/>
    <w:rsid w:val="0047029E"/>
    <w:rsid w:val="00476655"/>
    <w:rsid w:val="004817D2"/>
    <w:rsid w:val="00483DA3"/>
    <w:rsid w:val="0048406E"/>
    <w:rsid w:val="004857BD"/>
    <w:rsid w:val="00487619"/>
    <w:rsid w:val="00487CE7"/>
    <w:rsid w:val="00492CAF"/>
    <w:rsid w:val="004941E2"/>
    <w:rsid w:val="00494CAB"/>
    <w:rsid w:val="00495086"/>
    <w:rsid w:val="00495219"/>
    <w:rsid w:val="004962CA"/>
    <w:rsid w:val="0049785D"/>
    <w:rsid w:val="00497A02"/>
    <w:rsid w:val="004A3B61"/>
    <w:rsid w:val="004A3DD3"/>
    <w:rsid w:val="004A47EB"/>
    <w:rsid w:val="004A6BB4"/>
    <w:rsid w:val="004B5A6B"/>
    <w:rsid w:val="004B6E09"/>
    <w:rsid w:val="004B7189"/>
    <w:rsid w:val="004B7FDF"/>
    <w:rsid w:val="004D10A0"/>
    <w:rsid w:val="004D1210"/>
    <w:rsid w:val="004D1A95"/>
    <w:rsid w:val="004D2D0B"/>
    <w:rsid w:val="004D2D89"/>
    <w:rsid w:val="004D72E3"/>
    <w:rsid w:val="004D7C9F"/>
    <w:rsid w:val="004E361D"/>
    <w:rsid w:val="004F3088"/>
    <w:rsid w:val="004F314F"/>
    <w:rsid w:val="004F427E"/>
    <w:rsid w:val="004F7AC4"/>
    <w:rsid w:val="005008BE"/>
    <w:rsid w:val="00502E44"/>
    <w:rsid w:val="0050349F"/>
    <w:rsid w:val="00507672"/>
    <w:rsid w:val="00507758"/>
    <w:rsid w:val="005104D9"/>
    <w:rsid w:val="00510A95"/>
    <w:rsid w:val="005131B5"/>
    <w:rsid w:val="005134E0"/>
    <w:rsid w:val="00514732"/>
    <w:rsid w:val="00517DDB"/>
    <w:rsid w:val="0052060F"/>
    <w:rsid w:val="00520F7B"/>
    <w:rsid w:val="00526CC5"/>
    <w:rsid w:val="0053032D"/>
    <w:rsid w:val="0053262D"/>
    <w:rsid w:val="005361B0"/>
    <w:rsid w:val="00537CC7"/>
    <w:rsid w:val="00540A2F"/>
    <w:rsid w:val="00540B1C"/>
    <w:rsid w:val="005429AD"/>
    <w:rsid w:val="005432C5"/>
    <w:rsid w:val="00543E26"/>
    <w:rsid w:val="00545B99"/>
    <w:rsid w:val="00553ACD"/>
    <w:rsid w:val="0055688A"/>
    <w:rsid w:val="00561691"/>
    <w:rsid w:val="00562692"/>
    <w:rsid w:val="00564DC6"/>
    <w:rsid w:val="0057199D"/>
    <w:rsid w:val="00571FF1"/>
    <w:rsid w:val="00572200"/>
    <w:rsid w:val="005741FB"/>
    <w:rsid w:val="005752E7"/>
    <w:rsid w:val="005830F6"/>
    <w:rsid w:val="00583582"/>
    <w:rsid w:val="005841E8"/>
    <w:rsid w:val="00585AC7"/>
    <w:rsid w:val="00590368"/>
    <w:rsid w:val="0059291F"/>
    <w:rsid w:val="00593886"/>
    <w:rsid w:val="00593FFA"/>
    <w:rsid w:val="005963A2"/>
    <w:rsid w:val="005A0E85"/>
    <w:rsid w:val="005A184D"/>
    <w:rsid w:val="005A583E"/>
    <w:rsid w:val="005A5C52"/>
    <w:rsid w:val="005A7381"/>
    <w:rsid w:val="005B0339"/>
    <w:rsid w:val="005B42DE"/>
    <w:rsid w:val="005B5BDD"/>
    <w:rsid w:val="005B62A9"/>
    <w:rsid w:val="005B6538"/>
    <w:rsid w:val="005C272C"/>
    <w:rsid w:val="005C2C39"/>
    <w:rsid w:val="005C58E0"/>
    <w:rsid w:val="005D0B2F"/>
    <w:rsid w:val="005D5CF9"/>
    <w:rsid w:val="005D604F"/>
    <w:rsid w:val="005E11E9"/>
    <w:rsid w:val="005E3404"/>
    <w:rsid w:val="005E3579"/>
    <w:rsid w:val="005E39D9"/>
    <w:rsid w:val="005E6BEB"/>
    <w:rsid w:val="005E786D"/>
    <w:rsid w:val="005F28DC"/>
    <w:rsid w:val="005F3B9F"/>
    <w:rsid w:val="005F3C71"/>
    <w:rsid w:val="005F3E2F"/>
    <w:rsid w:val="005F6B6E"/>
    <w:rsid w:val="00602F97"/>
    <w:rsid w:val="006049EA"/>
    <w:rsid w:val="0060520B"/>
    <w:rsid w:val="00605239"/>
    <w:rsid w:val="0060653E"/>
    <w:rsid w:val="00606AC2"/>
    <w:rsid w:val="006132C2"/>
    <w:rsid w:val="006161CE"/>
    <w:rsid w:val="00616E9B"/>
    <w:rsid w:val="00622B85"/>
    <w:rsid w:val="00623969"/>
    <w:rsid w:val="00624A38"/>
    <w:rsid w:val="00625487"/>
    <w:rsid w:val="00627C1F"/>
    <w:rsid w:val="006311E0"/>
    <w:rsid w:val="006318AA"/>
    <w:rsid w:val="00632457"/>
    <w:rsid w:val="0063359F"/>
    <w:rsid w:val="00641054"/>
    <w:rsid w:val="006437EC"/>
    <w:rsid w:val="006438F6"/>
    <w:rsid w:val="006455BD"/>
    <w:rsid w:val="00645BD0"/>
    <w:rsid w:val="00647136"/>
    <w:rsid w:val="006537B5"/>
    <w:rsid w:val="00653A36"/>
    <w:rsid w:val="006547C0"/>
    <w:rsid w:val="006553A6"/>
    <w:rsid w:val="00655742"/>
    <w:rsid w:val="00655AB3"/>
    <w:rsid w:val="00655EA0"/>
    <w:rsid w:val="00656B7F"/>
    <w:rsid w:val="00657BB5"/>
    <w:rsid w:val="006632AB"/>
    <w:rsid w:val="00663345"/>
    <w:rsid w:val="00666C07"/>
    <w:rsid w:val="00670784"/>
    <w:rsid w:val="006724A1"/>
    <w:rsid w:val="006734DF"/>
    <w:rsid w:val="0067421B"/>
    <w:rsid w:val="006814A4"/>
    <w:rsid w:val="00683769"/>
    <w:rsid w:val="00683C62"/>
    <w:rsid w:val="00684DD8"/>
    <w:rsid w:val="00684EFB"/>
    <w:rsid w:val="00686EDD"/>
    <w:rsid w:val="00687FB4"/>
    <w:rsid w:val="00690A7C"/>
    <w:rsid w:val="0069409B"/>
    <w:rsid w:val="00694663"/>
    <w:rsid w:val="00695B21"/>
    <w:rsid w:val="00696F23"/>
    <w:rsid w:val="006A1F23"/>
    <w:rsid w:val="006A2308"/>
    <w:rsid w:val="006A291C"/>
    <w:rsid w:val="006B4F08"/>
    <w:rsid w:val="006B5A04"/>
    <w:rsid w:val="006C03DA"/>
    <w:rsid w:val="006C0C8B"/>
    <w:rsid w:val="006C2B08"/>
    <w:rsid w:val="006C38A1"/>
    <w:rsid w:val="006C4FC3"/>
    <w:rsid w:val="006D0917"/>
    <w:rsid w:val="006D10A6"/>
    <w:rsid w:val="006D12F8"/>
    <w:rsid w:val="006D1A6E"/>
    <w:rsid w:val="006D67C3"/>
    <w:rsid w:val="006E08B2"/>
    <w:rsid w:val="006E32D8"/>
    <w:rsid w:val="006E3AB4"/>
    <w:rsid w:val="006F100A"/>
    <w:rsid w:val="006F42F5"/>
    <w:rsid w:val="006F526C"/>
    <w:rsid w:val="006F5D2F"/>
    <w:rsid w:val="006F7C22"/>
    <w:rsid w:val="007023BE"/>
    <w:rsid w:val="00703F01"/>
    <w:rsid w:val="007052A1"/>
    <w:rsid w:val="007074EF"/>
    <w:rsid w:val="0070785B"/>
    <w:rsid w:val="00710735"/>
    <w:rsid w:val="007111B0"/>
    <w:rsid w:val="00711CC0"/>
    <w:rsid w:val="00711EDA"/>
    <w:rsid w:val="007152C9"/>
    <w:rsid w:val="00715B5B"/>
    <w:rsid w:val="00716902"/>
    <w:rsid w:val="00716C08"/>
    <w:rsid w:val="00717485"/>
    <w:rsid w:val="007268D8"/>
    <w:rsid w:val="00730517"/>
    <w:rsid w:val="007311A7"/>
    <w:rsid w:val="00731750"/>
    <w:rsid w:val="0073184C"/>
    <w:rsid w:val="00732CE2"/>
    <w:rsid w:val="0073599F"/>
    <w:rsid w:val="0073686B"/>
    <w:rsid w:val="007379F8"/>
    <w:rsid w:val="007435E9"/>
    <w:rsid w:val="0074590C"/>
    <w:rsid w:val="0075596F"/>
    <w:rsid w:val="007576C3"/>
    <w:rsid w:val="0076064D"/>
    <w:rsid w:val="007623BF"/>
    <w:rsid w:val="00763171"/>
    <w:rsid w:val="00764F4A"/>
    <w:rsid w:val="007656BD"/>
    <w:rsid w:val="007706F7"/>
    <w:rsid w:val="00771D47"/>
    <w:rsid w:val="007726AE"/>
    <w:rsid w:val="00772E31"/>
    <w:rsid w:val="00775816"/>
    <w:rsid w:val="00775D7D"/>
    <w:rsid w:val="00777159"/>
    <w:rsid w:val="00777A5C"/>
    <w:rsid w:val="00781D9E"/>
    <w:rsid w:val="0078519A"/>
    <w:rsid w:val="00785B61"/>
    <w:rsid w:val="00785BCA"/>
    <w:rsid w:val="00787E3E"/>
    <w:rsid w:val="00791673"/>
    <w:rsid w:val="00797444"/>
    <w:rsid w:val="007A03DC"/>
    <w:rsid w:val="007A2DDA"/>
    <w:rsid w:val="007A485C"/>
    <w:rsid w:val="007A4914"/>
    <w:rsid w:val="007A6B42"/>
    <w:rsid w:val="007A716B"/>
    <w:rsid w:val="007A7864"/>
    <w:rsid w:val="007B156C"/>
    <w:rsid w:val="007B3AE2"/>
    <w:rsid w:val="007B462D"/>
    <w:rsid w:val="007B500B"/>
    <w:rsid w:val="007B53EA"/>
    <w:rsid w:val="007B6FAB"/>
    <w:rsid w:val="007B72D4"/>
    <w:rsid w:val="007C0D4A"/>
    <w:rsid w:val="007C2779"/>
    <w:rsid w:val="007C70A5"/>
    <w:rsid w:val="007D0DF7"/>
    <w:rsid w:val="007D18AF"/>
    <w:rsid w:val="007D79D6"/>
    <w:rsid w:val="007E00A5"/>
    <w:rsid w:val="007E11F1"/>
    <w:rsid w:val="007E1243"/>
    <w:rsid w:val="007E1CC0"/>
    <w:rsid w:val="007E3B4A"/>
    <w:rsid w:val="007E4A97"/>
    <w:rsid w:val="007E53EF"/>
    <w:rsid w:val="007E5572"/>
    <w:rsid w:val="007E7443"/>
    <w:rsid w:val="007F1B4C"/>
    <w:rsid w:val="007F3478"/>
    <w:rsid w:val="007F6F54"/>
    <w:rsid w:val="0080239A"/>
    <w:rsid w:val="0080446C"/>
    <w:rsid w:val="0080763C"/>
    <w:rsid w:val="00810C77"/>
    <w:rsid w:val="00811AE0"/>
    <w:rsid w:val="008203CB"/>
    <w:rsid w:val="00822987"/>
    <w:rsid w:val="008246C6"/>
    <w:rsid w:val="00826224"/>
    <w:rsid w:val="008274A1"/>
    <w:rsid w:val="00827815"/>
    <w:rsid w:val="0083008D"/>
    <w:rsid w:val="00832C34"/>
    <w:rsid w:val="00835BF8"/>
    <w:rsid w:val="008401AB"/>
    <w:rsid w:val="00843A11"/>
    <w:rsid w:val="00844383"/>
    <w:rsid w:val="008444C9"/>
    <w:rsid w:val="008500CE"/>
    <w:rsid w:val="00852088"/>
    <w:rsid w:val="00854B84"/>
    <w:rsid w:val="008570AA"/>
    <w:rsid w:val="00860C96"/>
    <w:rsid w:val="0086177A"/>
    <w:rsid w:val="00861A4D"/>
    <w:rsid w:val="00861F25"/>
    <w:rsid w:val="00862FF2"/>
    <w:rsid w:val="00866089"/>
    <w:rsid w:val="00870765"/>
    <w:rsid w:val="00871805"/>
    <w:rsid w:val="00871FEA"/>
    <w:rsid w:val="0087451E"/>
    <w:rsid w:val="00874703"/>
    <w:rsid w:val="00875B7B"/>
    <w:rsid w:val="00875C93"/>
    <w:rsid w:val="00875CE0"/>
    <w:rsid w:val="008763F5"/>
    <w:rsid w:val="008802AD"/>
    <w:rsid w:val="00881862"/>
    <w:rsid w:val="00882569"/>
    <w:rsid w:val="00882FBC"/>
    <w:rsid w:val="00884D65"/>
    <w:rsid w:val="0089151E"/>
    <w:rsid w:val="00891AFF"/>
    <w:rsid w:val="008927C8"/>
    <w:rsid w:val="00893B17"/>
    <w:rsid w:val="00894CD6"/>
    <w:rsid w:val="00894EA6"/>
    <w:rsid w:val="00895ED3"/>
    <w:rsid w:val="008A0679"/>
    <w:rsid w:val="008A2AAC"/>
    <w:rsid w:val="008A2FE7"/>
    <w:rsid w:val="008A370D"/>
    <w:rsid w:val="008A44E6"/>
    <w:rsid w:val="008A4822"/>
    <w:rsid w:val="008A5ABD"/>
    <w:rsid w:val="008A6964"/>
    <w:rsid w:val="008A6F57"/>
    <w:rsid w:val="008A70DA"/>
    <w:rsid w:val="008B085A"/>
    <w:rsid w:val="008B08D5"/>
    <w:rsid w:val="008B3FC4"/>
    <w:rsid w:val="008B7D29"/>
    <w:rsid w:val="008B7E76"/>
    <w:rsid w:val="008C21E5"/>
    <w:rsid w:val="008C5C66"/>
    <w:rsid w:val="008C71B5"/>
    <w:rsid w:val="008C79C0"/>
    <w:rsid w:val="008C7DBB"/>
    <w:rsid w:val="008D0CE1"/>
    <w:rsid w:val="008D4FB7"/>
    <w:rsid w:val="008D5937"/>
    <w:rsid w:val="008E0DEF"/>
    <w:rsid w:val="008E1DB4"/>
    <w:rsid w:val="008E1FC6"/>
    <w:rsid w:val="008E2523"/>
    <w:rsid w:val="008F15A7"/>
    <w:rsid w:val="00901684"/>
    <w:rsid w:val="00906BF3"/>
    <w:rsid w:val="00911C59"/>
    <w:rsid w:val="00912227"/>
    <w:rsid w:val="00914763"/>
    <w:rsid w:val="00916CCA"/>
    <w:rsid w:val="00917D3A"/>
    <w:rsid w:val="00917DDD"/>
    <w:rsid w:val="0092039F"/>
    <w:rsid w:val="0092136D"/>
    <w:rsid w:val="009214DA"/>
    <w:rsid w:val="00921886"/>
    <w:rsid w:val="00921EE2"/>
    <w:rsid w:val="00927854"/>
    <w:rsid w:val="00930B4B"/>
    <w:rsid w:val="009327FA"/>
    <w:rsid w:val="00933A8A"/>
    <w:rsid w:val="00933D8C"/>
    <w:rsid w:val="009366E9"/>
    <w:rsid w:val="009413BA"/>
    <w:rsid w:val="00943A72"/>
    <w:rsid w:val="00943AF2"/>
    <w:rsid w:val="009471E2"/>
    <w:rsid w:val="00947A7D"/>
    <w:rsid w:val="00950326"/>
    <w:rsid w:val="00950FCD"/>
    <w:rsid w:val="009518CE"/>
    <w:rsid w:val="00951DBD"/>
    <w:rsid w:val="00954462"/>
    <w:rsid w:val="0095716C"/>
    <w:rsid w:val="009608D5"/>
    <w:rsid w:val="009609F2"/>
    <w:rsid w:val="00961B62"/>
    <w:rsid w:val="00961F20"/>
    <w:rsid w:val="00963ACA"/>
    <w:rsid w:val="009678FD"/>
    <w:rsid w:val="009707A2"/>
    <w:rsid w:val="00970D48"/>
    <w:rsid w:val="0097149A"/>
    <w:rsid w:val="00973F17"/>
    <w:rsid w:val="0097412E"/>
    <w:rsid w:val="00974839"/>
    <w:rsid w:val="0098066E"/>
    <w:rsid w:val="00983230"/>
    <w:rsid w:val="009841FA"/>
    <w:rsid w:val="00987ED2"/>
    <w:rsid w:val="0099280A"/>
    <w:rsid w:val="00992873"/>
    <w:rsid w:val="00992964"/>
    <w:rsid w:val="009937BF"/>
    <w:rsid w:val="009953D4"/>
    <w:rsid w:val="009A1EED"/>
    <w:rsid w:val="009A2694"/>
    <w:rsid w:val="009A2A01"/>
    <w:rsid w:val="009A454F"/>
    <w:rsid w:val="009B1F51"/>
    <w:rsid w:val="009B3032"/>
    <w:rsid w:val="009B33D1"/>
    <w:rsid w:val="009B6004"/>
    <w:rsid w:val="009B6EDB"/>
    <w:rsid w:val="009C0ED5"/>
    <w:rsid w:val="009C3039"/>
    <w:rsid w:val="009C31B8"/>
    <w:rsid w:val="009C34B8"/>
    <w:rsid w:val="009C5D5C"/>
    <w:rsid w:val="009D1860"/>
    <w:rsid w:val="009D292F"/>
    <w:rsid w:val="009D3689"/>
    <w:rsid w:val="009D420C"/>
    <w:rsid w:val="009D505F"/>
    <w:rsid w:val="009D64FA"/>
    <w:rsid w:val="009D6E90"/>
    <w:rsid w:val="009E101B"/>
    <w:rsid w:val="009E3419"/>
    <w:rsid w:val="009E4050"/>
    <w:rsid w:val="009E65AE"/>
    <w:rsid w:val="009F3D8A"/>
    <w:rsid w:val="009F4885"/>
    <w:rsid w:val="009F6E0A"/>
    <w:rsid w:val="009F78C6"/>
    <w:rsid w:val="009F7A36"/>
    <w:rsid w:val="00A016E2"/>
    <w:rsid w:val="00A0278A"/>
    <w:rsid w:val="00A03092"/>
    <w:rsid w:val="00A030AD"/>
    <w:rsid w:val="00A05D9E"/>
    <w:rsid w:val="00A06380"/>
    <w:rsid w:val="00A067E5"/>
    <w:rsid w:val="00A105F4"/>
    <w:rsid w:val="00A10B34"/>
    <w:rsid w:val="00A10BED"/>
    <w:rsid w:val="00A12FAE"/>
    <w:rsid w:val="00A156D3"/>
    <w:rsid w:val="00A16CB0"/>
    <w:rsid w:val="00A1716F"/>
    <w:rsid w:val="00A17257"/>
    <w:rsid w:val="00A17605"/>
    <w:rsid w:val="00A224FD"/>
    <w:rsid w:val="00A24683"/>
    <w:rsid w:val="00A24D44"/>
    <w:rsid w:val="00A3033E"/>
    <w:rsid w:val="00A303B2"/>
    <w:rsid w:val="00A30ABD"/>
    <w:rsid w:val="00A33825"/>
    <w:rsid w:val="00A33F84"/>
    <w:rsid w:val="00A359C9"/>
    <w:rsid w:val="00A415CD"/>
    <w:rsid w:val="00A42154"/>
    <w:rsid w:val="00A4310C"/>
    <w:rsid w:val="00A43D9D"/>
    <w:rsid w:val="00A44CEE"/>
    <w:rsid w:val="00A50359"/>
    <w:rsid w:val="00A507CE"/>
    <w:rsid w:val="00A51D09"/>
    <w:rsid w:val="00A547D1"/>
    <w:rsid w:val="00A55A8A"/>
    <w:rsid w:val="00A56E8D"/>
    <w:rsid w:val="00A602FA"/>
    <w:rsid w:val="00A604C5"/>
    <w:rsid w:val="00A60813"/>
    <w:rsid w:val="00A645DF"/>
    <w:rsid w:val="00A7013C"/>
    <w:rsid w:val="00A71C3D"/>
    <w:rsid w:val="00A72B09"/>
    <w:rsid w:val="00A73B32"/>
    <w:rsid w:val="00A744E8"/>
    <w:rsid w:val="00A74F4B"/>
    <w:rsid w:val="00A77EDD"/>
    <w:rsid w:val="00A872F2"/>
    <w:rsid w:val="00A87DB9"/>
    <w:rsid w:val="00A937F9"/>
    <w:rsid w:val="00A974BF"/>
    <w:rsid w:val="00A97B3A"/>
    <w:rsid w:val="00AA09B2"/>
    <w:rsid w:val="00AA0B88"/>
    <w:rsid w:val="00AA4985"/>
    <w:rsid w:val="00AA4BF0"/>
    <w:rsid w:val="00AA7793"/>
    <w:rsid w:val="00AB168D"/>
    <w:rsid w:val="00AB4AD8"/>
    <w:rsid w:val="00AC10C2"/>
    <w:rsid w:val="00AC247A"/>
    <w:rsid w:val="00AC45F3"/>
    <w:rsid w:val="00AC5FB8"/>
    <w:rsid w:val="00AC6390"/>
    <w:rsid w:val="00AC7B3C"/>
    <w:rsid w:val="00AD0344"/>
    <w:rsid w:val="00AD456A"/>
    <w:rsid w:val="00AD5453"/>
    <w:rsid w:val="00AE13EC"/>
    <w:rsid w:val="00AF1C3D"/>
    <w:rsid w:val="00AF5AA1"/>
    <w:rsid w:val="00AF5D2F"/>
    <w:rsid w:val="00AF7149"/>
    <w:rsid w:val="00B01DCB"/>
    <w:rsid w:val="00B01F55"/>
    <w:rsid w:val="00B039E0"/>
    <w:rsid w:val="00B11B2E"/>
    <w:rsid w:val="00B13085"/>
    <w:rsid w:val="00B17B8E"/>
    <w:rsid w:val="00B20F83"/>
    <w:rsid w:val="00B309CD"/>
    <w:rsid w:val="00B3149B"/>
    <w:rsid w:val="00B32A62"/>
    <w:rsid w:val="00B33623"/>
    <w:rsid w:val="00B34911"/>
    <w:rsid w:val="00B35677"/>
    <w:rsid w:val="00B35B22"/>
    <w:rsid w:val="00B41646"/>
    <w:rsid w:val="00B41A27"/>
    <w:rsid w:val="00B42BE2"/>
    <w:rsid w:val="00B44897"/>
    <w:rsid w:val="00B478C1"/>
    <w:rsid w:val="00B50FB4"/>
    <w:rsid w:val="00B52569"/>
    <w:rsid w:val="00B54BF7"/>
    <w:rsid w:val="00B54D9E"/>
    <w:rsid w:val="00B56E36"/>
    <w:rsid w:val="00B57755"/>
    <w:rsid w:val="00B62B79"/>
    <w:rsid w:val="00B663DF"/>
    <w:rsid w:val="00B716D6"/>
    <w:rsid w:val="00B74252"/>
    <w:rsid w:val="00B826D5"/>
    <w:rsid w:val="00B8371D"/>
    <w:rsid w:val="00B85934"/>
    <w:rsid w:val="00B85D35"/>
    <w:rsid w:val="00B866B1"/>
    <w:rsid w:val="00B870D2"/>
    <w:rsid w:val="00B87FE7"/>
    <w:rsid w:val="00B90CAB"/>
    <w:rsid w:val="00B9109D"/>
    <w:rsid w:val="00B91E5F"/>
    <w:rsid w:val="00B91F3F"/>
    <w:rsid w:val="00B96DDC"/>
    <w:rsid w:val="00B978A6"/>
    <w:rsid w:val="00BA0018"/>
    <w:rsid w:val="00BA6A62"/>
    <w:rsid w:val="00BA76EB"/>
    <w:rsid w:val="00BA79CE"/>
    <w:rsid w:val="00BB07B1"/>
    <w:rsid w:val="00BB0FED"/>
    <w:rsid w:val="00BB149F"/>
    <w:rsid w:val="00BB356F"/>
    <w:rsid w:val="00BB41D0"/>
    <w:rsid w:val="00BC0F34"/>
    <w:rsid w:val="00BC20D0"/>
    <w:rsid w:val="00BC2971"/>
    <w:rsid w:val="00BC477D"/>
    <w:rsid w:val="00BC6626"/>
    <w:rsid w:val="00BC6D23"/>
    <w:rsid w:val="00BD01F9"/>
    <w:rsid w:val="00BD4235"/>
    <w:rsid w:val="00BD4CA2"/>
    <w:rsid w:val="00BD7AE6"/>
    <w:rsid w:val="00BE155C"/>
    <w:rsid w:val="00BE46F3"/>
    <w:rsid w:val="00BE4D96"/>
    <w:rsid w:val="00BE50A2"/>
    <w:rsid w:val="00BE729D"/>
    <w:rsid w:val="00BF04DD"/>
    <w:rsid w:val="00BF0B19"/>
    <w:rsid w:val="00BF1D4E"/>
    <w:rsid w:val="00BF3F58"/>
    <w:rsid w:val="00BF69F2"/>
    <w:rsid w:val="00BF70B6"/>
    <w:rsid w:val="00C02286"/>
    <w:rsid w:val="00C02840"/>
    <w:rsid w:val="00C0355D"/>
    <w:rsid w:val="00C03AAA"/>
    <w:rsid w:val="00C041C0"/>
    <w:rsid w:val="00C062BF"/>
    <w:rsid w:val="00C11E14"/>
    <w:rsid w:val="00C124DC"/>
    <w:rsid w:val="00C234B2"/>
    <w:rsid w:val="00C27ED5"/>
    <w:rsid w:val="00C31CB8"/>
    <w:rsid w:val="00C31D98"/>
    <w:rsid w:val="00C33E33"/>
    <w:rsid w:val="00C34D93"/>
    <w:rsid w:val="00C3718A"/>
    <w:rsid w:val="00C41D8C"/>
    <w:rsid w:val="00C42018"/>
    <w:rsid w:val="00C422C4"/>
    <w:rsid w:val="00C44957"/>
    <w:rsid w:val="00C45254"/>
    <w:rsid w:val="00C46D74"/>
    <w:rsid w:val="00C52B53"/>
    <w:rsid w:val="00C540FF"/>
    <w:rsid w:val="00C55B5F"/>
    <w:rsid w:val="00C57295"/>
    <w:rsid w:val="00C62CF5"/>
    <w:rsid w:val="00C64501"/>
    <w:rsid w:val="00C6549B"/>
    <w:rsid w:val="00C66B03"/>
    <w:rsid w:val="00C675A6"/>
    <w:rsid w:val="00C67610"/>
    <w:rsid w:val="00C701D4"/>
    <w:rsid w:val="00C71636"/>
    <w:rsid w:val="00C71C03"/>
    <w:rsid w:val="00C71D78"/>
    <w:rsid w:val="00C72908"/>
    <w:rsid w:val="00C81790"/>
    <w:rsid w:val="00C829C9"/>
    <w:rsid w:val="00C83D7B"/>
    <w:rsid w:val="00C849B5"/>
    <w:rsid w:val="00C85631"/>
    <w:rsid w:val="00C8650C"/>
    <w:rsid w:val="00C86EC6"/>
    <w:rsid w:val="00C9228D"/>
    <w:rsid w:val="00C9668F"/>
    <w:rsid w:val="00CA03A0"/>
    <w:rsid w:val="00CA1E68"/>
    <w:rsid w:val="00CA2911"/>
    <w:rsid w:val="00CA2E97"/>
    <w:rsid w:val="00CA596F"/>
    <w:rsid w:val="00CB04F6"/>
    <w:rsid w:val="00CB2CFB"/>
    <w:rsid w:val="00CB33EC"/>
    <w:rsid w:val="00CB6BD0"/>
    <w:rsid w:val="00CB72FD"/>
    <w:rsid w:val="00CC39BD"/>
    <w:rsid w:val="00CD2500"/>
    <w:rsid w:val="00CD29A9"/>
    <w:rsid w:val="00CD387C"/>
    <w:rsid w:val="00CD56C9"/>
    <w:rsid w:val="00CD74FF"/>
    <w:rsid w:val="00CD7CF7"/>
    <w:rsid w:val="00CD7DA3"/>
    <w:rsid w:val="00CE1C78"/>
    <w:rsid w:val="00CE1EC4"/>
    <w:rsid w:val="00CE565C"/>
    <w:rsid w:val="00CE6579"/>
    <w:rsid w:val="00CE6AB5"/>
    <w:rsid w:val="00CE74AC"/>
    <w:rsid w:val="00CE76EA"/>
    <w:rsid w:val="00CF0A06"/>
    <w:rsid w:val="00CF0AE1"/>
    <w:rsid w:val="00CF642E"/>
    <w:rsid w:val="00D0026D"/>
    <w:rsid w:val="00D006C4"/>
    <w:rsid w:val="00D06D19"/>
    <w:rsid w:val="00D16B67"/>
    <w:rsid w:val="00D17A52"/>
    <w:rsid w:val="00D17C84"/>
    <w:rsid w:val="00D22023"/>
    <w:rsid w:val="00D336E1"/>
    <w:rsid w:val="00D349BB"/>
    <w:rsid w:val="00D365C7"/>
    <w:rsid w:val="00D405A1"/>
    <w:rsid w:val="00D406D9"/>
    <w:rsid w:val="00D41756"/>
    <w:rsid w:val="00D43C14"/>
    <w:rsid w:val="00D44327"/>
    <w:rsid w:val="00D51DA4"/>
    <w:rsid w:val="00D51FEB"/>
    <w:rsid w:val="00D528EA"/>
    <w:rsid w:val="00D537EF"/>
    <w:rsid w:val="00D54818"/>
    <w:rsid w:val="00D54D20"/>
    <w:rsid w:val="00D5505A"/>
    <w:rsid w:val="00D55C5D"/>
    <w:rsid w:val="00D568B9"/>
    <w:rsid w:val="00D5757A"/>
    <w:rsid w:val="00D57BBC"/>
    <w:rsid w:val="00D61B00"/>
    <w:rsid w:val="00D63B98"/>
    <w:rsid w:val="00D63E12"/>
    <w:rsid w:val="00D65075"/>
    <w:rsid w:val="00D7536C"/>
    <w:rsid w:val="00D82A3C"/>
    <w:rsid w:val="00D8312D"/>
    <w:rsid w:val="00D8517D"/>
    <w:rsid w:val="00D85D81"/>
    <w:rsid w:val="00D9673A"/>
    <w:rsid w:val="00DA3565"/>
    <w:rsid w:val="00DA3E70"/>
    <w:rsid w:val="00DB1EA2"/>
    <w:rsid w:val="00DB733F"/>
    <w:rsid w:val="00DC05A3"/>
    <w:rsid w:val="00DC23C7"/>
    <w:rsid w:val="00DC2FF7"/>
    <w:rsid w:val="00DC3C1B"/>
    <w:rsid w:val="00DD3196"/>
    <w:rsid w:val="00DD4005"/>
    <w:rsid w:val="00DE1836"/>
    <w:rsid w:val="00DE24AF"/>
    <w:rsid w:val="00DE2868"/>
    <w:rsid w:val="00DE56C1"/>
    <w:rsid w:val="00DE5787"/>
    <w:rsid w:val="00DE7154"/>
    <w:rsid w:val="00DF1380"/>
    <w:rsid w:val="00DF1A9D"/>
    <w:rsid w:val="00DF275E"/>
    <w:rsid w:val="00DF2EDF"/>
    <w:rsid w:val="00DF3409"/>
    <w:rsid w:val="00DF7D2C"/>
    <w:rsid w:val="00E014A1"/>
    <w:rsid w:val="00E032DF"/>
    <w:rsid w:val="00E05667"/>
    <w:rsid w:val="00E06F97"/>
    <w:rsid w:val="00E101CC"/>
    <w:rsid w:val="00E116E9"/>
    <w:rsid w:val="00E1204E"/>
    <w:rsid w:val="00E14BE3"/>
    <w:rsid w:val="00E2017A"/>
    <w:rsid w:val="00E21398"/>
    <w:rsid w:val="00E22E5C"/>
    <w:rsid w:val="00E23FD2"/>
    <w:rsid w:val="00E25EE9"/>
    <w:rsid w:val="00E26D7E"/>
    <w:rsid w:val="00E320F5"/>
    <w:rsid w:val="00E32AFE"/>
    <w:rsid w:val="00E3473E"/>
    <w:rsid w:val="00E3676A"/>
    <w:rsid w:val="00E40241"/>
    <w:rsid w:val="00E41CBA"/>
    <w:rsid w:val="00E458E9"/>
    <w:rsid w:val="00E47F41"/>
    <w:rsid w:val="00E54BAE"/>
    <w:rsid w:val="00E557E0"/>
    <w:rsid w:val="00E55D97"/>
    <w:rsid w:val="00E57834"/>
    <w:rsid w:val="00E57A93"/>
    <w:rsid w:val="00E60CF5"/>
    <w:rsid w:val="00E6430E"/>
    <w:rsid w:val="00E659F0"/>
    <w:rsid w:val="00E701F4"/>
    <w:rsid w:val="00E71575"/>
    <w:rsid w:val="00E71943"/>
    <w:rsid w:val="00E71956"/>
    <w:rsid w:val="00E72586"/>
    <w:rsid w:val="00E7292F"/>
    <w:rsid w:val="00E7303C"/>
    <w:rsid w:val="00E776BA"/>
    <w:rsid w:val="00E77FFC"/>
    <w:rsid w:val="00E8380B"/>
    <w:rsid w:val="00E85BA3"/>
    <w:rsid w:val="00E85C81"/>
    <w:rsid w:val="00E9344C"/>
    <w:rsid w:val="00E95161"/>
    <w:rsid w:val="00EA3F74"/>
    <w:rsid w:val="00EA4031"/>
    <w:rsid w:val="00EA43AB"/>
    <w:rsid w:val="00EA4444"/>
    <w:rsid w:val="00EB34F6"/>
    <w:rsid w:val="00EB3DDE"/>
    <w:rsid w:val="00EB5F08"/>
    <w:rsid w:val="00ED1394"/>
    <w:rsid w:val="00ED205F"/>
    <w:rsid w:val="00ED36C6"/>
    <w:rsid w:val="00ED3B41"/>
    <w:rsid w:val="00ED4136"/>
    <w:rsid w:val="00ED5117"/>
    <w:rsid w:val="00ED511A"/>
    <w:rsid w:val="00ED58FC"/>
    <w:rsid w:val="00ED6050"/>
    <w:rsid w:val="00ED6A96"/>
    <w:rsid w:val="00EE3338"/>
    <w:rsid w:val="00EE65C8"/>
    <w:rsid w:val="00EF07EB"/>
    <w:rsid w:val="00EF101A"/>
    <w:rsid w:val="00EF187C"/>
    <w:rsid w:val="00EF2E32"/>
    <w:rsid w:val="00EF509E"/>
    <w:rsid w:val="00EF5CA8"/>
    <w:rsid w:val="00F0306D"/>
    <w:rsid w:val="00F05701"/>
    <w:rsid w:val="00F05B15"/>
    <w:rsid w:val="00F073B9"/>
    <w:rsid w:val="00F07B05"/>
    <w:rsid w:val="00F1050A"/>
    <w:rsid w:val="00F15B19"/>
    <w:rsid w:val="00F16B03"/>
    <w:rsid w:val="00F20A18"/>
    <w:rsid w:val="00F24BA7"/>
    <w:rsid w:val="00F24D17"/>
    <w:rsid w:val="00F24D46"/>
    <w:rsid w:val="00F33A65"/>
    <w:rsid w:val="00F341CA"/>
    <w:rsid w:val="00F36088"/>
    <w:rsid w:val="00F40233"/>
    <w:rsid w:val="00F41A3B"/>
    <w:rsid w:val="00F43187"/>
    <w:rsid w:val="00F45433"/>
    <w:rsid w:val="00F4578F"/>
    <w:rsid w:val="00F45EFF"/>
    <w:rsid w:val="00F4757D"/>
    <w:rsid w:val="00F5023D"/>
    <w:rsid w:val="00F50330"/>
    <w:rsid w:val="00F50390"/>
    <w:rsid w:val="00F50603"/>
    <w:rsid w:val="00F5381E"/>
    <w:rsid w:val="00F61DB6"/>
    <w:rsid w:val="00F620E5"/>
    <w:rsid w:val="00F6453D"/>
    <w:rsid w:val="00F65988"/>
    <w:rsid w:val="00F65D7A"/>
    <w:rsid w:val="00F65F36"/>
    <w:rsid w:val="00F66EC8"/>
    <w:rsid w:val="00F73A14"/>
    <w:rsid w:val="00F75D26"/>
    <w:rsid w:val="00F80C2D"/>
    <w:rsid w:val="00F82DA1"/>
    <w:rsid w:val="00F836E7"/>
    <w:rsid w:val="00F85BEE"/>
    <w:rsid w:val="00F87D07"/>
    <w:rsid w:val="00F904D9"/>
    <w:rsid w:val="00F94400"/>
    <w:rsid w:val="00F96233"/>
    <w:rsid w:val="00F96FE8"/>
    <w:rsid w:val="00FA171E"/>
    <w:rsid w:val="00FA3158"/>
    <w:rsid w:val="00FA76BF"/>
    <w:rsid w:val="00FA78C8"/>
    <w:rsid w:val="00FB0B8C"/>
    <w:rsid w:val="00FB1F6C"/>
    <w:rsid w:val="00FB40EE"/>
    <w:rsid w:val="00FB4944"/>
    <w:rsid w:val="00FC07E5"/>
    <w:rsid w:val="00FC285B"/>
    <w:rsid w:val="00FC30FF"/>
    <w:rsid w:val="00FC4034"/>
    <w:rsid w:val="00FC66D8"/>
    <w:rsid w:val="00FC7802"/>
    <w:rsid w:val="00FD0745"/>
    <w:rsid w:val="00FD170D"/>
    <w:rsid w:val="00FD1720"/>
    <w:rsid w:val="00FD1B50"/>
    <w:rsid w:val="00FD390A"/>
    <w:rsid w:val="00FD3F11"/>
    <w:rsid w:val="00FD4D9E"/>
    <w:rsid w:val="00FD7C62"/>
    <w:rsid w:val="00FE1F3C"/>
    <w:rsid w:val="00FE2752"/>
    <w:rsid w:val="00FE3373"/>
    <w:rsid w:val="00FE4D5B"/>
    <w:rsid w:val="00FE6AD0"/>
    <w:rsid w:val="00FE70CD"/>
    <w:rsid w:val="00FF32BA"/>
    <w:rsid w:val="00FF7DC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9865CAD"/>
  <w15:docId w15:val="{86BC6A11-EB85-42BD-BAF7-911FA1D6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C1980"/>
    <w:pPr>
      <w:ind w:firstLine="567"/>
    </w:pPr>
    <w:rPr>
      <w:rFonts w:ascii="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C1980"/>
    <w:pPr>
      <w:ind w:left="720"/>
      <w:contextualSpacing/>
    </w:pPr>
  </w:style>
  <w:style w:type="paragraph" w:styleId="Pidipagina">
    <w:name w:val="footer"/>
    <w:basedOn w:val="Normale"/>
    <w:link w:val="PidipaginaCarattere"/>
    <w:uiPriority w:val="99"/>
    <w:rsid w:val="003C1980"/>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locked/>
    <w:rsid w:val="003C1980"/>
    <w:rPr>
      <w:rFonts w:ascii="Times New Roman" w:hAnsi="Times New Roman" w:cs="Times New Roman"/>
    </w:rPr>
  </w:style>
  <w:style w:type="paragraph" w:styleId="Rientrocorpodeltesto">
    <w:name w:val="Body Text Indent"/>
    <w:basedOn w:val="Normale"/>
    <w:link w:val="RientrocorpodeltestoCarattere"/>
    <w:uiPriority w:val="99"/>
    <w:rsid w:val="00E23FD2"/>
    <w:pPr>
      <w:ind w:left="4245" w:hanging="4245"/>
    </w:pPr>
    <w:rPr>
      <w:sz w:val="20"/>
      <w:szCs w:val="20"/>
    </w:rPr>
  </w:style>
  <w:style w:type="character" w:customStyle="1" w:styleId="RientrocorpodeltestoCarattere">
    <w:name w:val="Rientro corpo del testo Carattere"/>
    <w:basedOn w:val="Carpredefinitoparagrafo"/>
    <w:link w:val="Rientrocorpodeltesto"/>
    <w:uiPriority w:val="99"/>
    <w:locked/>
    <w:rsid w:val="00E23FD2"/>
    <w:rPr>
      <w:rFonts w:ascii="Times New Roman" w:hAnsi="Times New Roman" w:cs="Times New Roman"/>
      <w:sz w:val="20"/>
    </w:rPr>
  </w:style>
  <w:style w:type="paragraph" w:customStyle="1" w:styleId="Style1">
    <w:name w:val="Style 1"/>
    <w:uiPriority w:val="99"/>
    <w:rsid w:val="00D65075"/>
    <w:pPr>
      <w:widowControl w:val="0"/>
      <w:autoSpaceDE w:val="0"/>
      <w:autoSpaceDN w:val="0"/>
      <w:adjustRightInd w:val="0"/>
    </w:pPr>
    <w:rPr>
      <w:rFonts w:ascii="Times New Roman" w:eastAsia="MS ??" w:hAnsi="Times New Roman"/>
      <w:sz w:val="20"/>
      <w:szCs w:val="20"/>
    </w:rPr>
  </w:style>
  <w:style w:type="paragraph" w:customStyle="1" w:styleId="style1cxspmedio">
    <w:name w:val="style1cxspmedio"/>
    <w:basedOn w:val="Normale"/>
    <w:uiPriority w:val="99"/>
    <w:rsid w:val="00FD7C62"/>
    <w:pPr>
      <w:spacing w:before="100" w:beforeAutospacing="1" w:after="100" w:afterAutospacing="1"/>
      <w:ind w:firstLine="0"/>
    </w:pPr>
  </w:style>
  <w:style w:type="character" w:styleId="Enfasicorsivo">
    <w:name w:val="Emphasis"/>
    <w:basedOn w:val="Carpredefinitoparagrafo"/>
    <w:uiPriority w:val="99"/>
    <w:qFormat/>
    <w:rsid w:val="00DB733F"/>
    <w:rPr>
      <w:rFonts w:cs="Times New Roman"/>
      <w:b/>
    </w:rPr>
  </w:style>
  <w:style w:type="character" w:customStyle="1" w:styleId="st1">
    <w:name w:val="st1"/>
    <w:uiPriority w:val="99"/>
    <w:rsid w:val="00DB733F"/>
  </w:style>
  <w:style w:type="paragraph" w:styleId="PreformattatoHTML">
    <w:name w:val="HTML Preformatted"/>
    <w:basedOn w:val="Normale"/>
    <w:link w:val="PreformattatoHTMLCarattere"/>
    <w:uiPriority w:val="99"/>
    <w:rsid w:val="00BB0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sz w:val="20"/>
      <w:szCs w:val="20"/>
    </w:rPr>
  </w:style>
  <w:style w:type="character" w:customStyle="1" w:styleId="PreformattatoHTMLCarattere">
    <w:name w:val="Preformattato HTML Carattere"/>
    <w:basedOn w:val="Carpredefinitoparagrafo"/>
    <w:link w:val="PreformattatoHTML"/>
    <w:uiPriority w:val="99"/>
    <w:locked/>
    <w:rsid w:val="00BB07B1"/>
    <w:rPr>
      <w:rFonts w:ascii="Courier New" w:hAnsi="Courier New" w:cs="Times New Roman"/>
      <w:sz w:val="20"/>
    </w:rPr>
  </w:style>
  <w:style w:type="paragraph" w:customStyle="1" w:styleId="msonormalcxspmediocxspmedio">
    <w:name w:val="msonormalcxspmediocxspmedio"/>
    <w:basedOn w:val="Normale"/>
    <w:uiPriority w:val="99"/>
    <w:rsid w:val="005B6538"/>
    <w:pPr>
      <w:spacing w:before="100" w:beforeAutospacing="1" w:after="100" w:afterAutospacing="1"/>
      <w:ind w:firstLine="0"/>
    </w:pPr>
  </w:style>
  <w:style w:type="paragraph" w:styleId="Testonotaapidipagina">
    <w:name w:val="footnote text"/>
    <w:basedOn w:val="Normale"/>
    <w:link w:val="TestonotaapidipaginaCarattere"/>
    <w:uiPriority w:val="99"/>
    <w:semiHidden/>
    <w:rsid w:val="00881862"/>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881862"/>
    <w:rPr>
      <w:rFonts w:ascii="Times New Roman" w:hAnsi="Times New Roman" w:cs="Times New Roman"/>
      <w:sz w:val="20"/>
    </w:rPr>
  </w:style>
  <w:style w:type="character" w:styleId="Rimandonotaapidipagina">
    <w:name w:val="footnote reference"/>
    <w:basedOn w:val="Carpredefinitoparagrafo"/>
    <w:uiPriority w:val="99"/>
    <w:semiHidden/>
    <w:rsid w:val="00881862"/>
    <w:rPr>
      <w:rFonts w:cs="Times New Roman"/>
      <w:vertAlign w:val="superscript"/>
    </w:rPr>
  </w:style>
  <w:style w:type="paragraph" w:styleId="Testofumetto">
    <w:name w:val="Balloon Text"/>
    <w:basedOn w:val="Normale"/>
    <w:link w:val="TestofumettoCarattere"/>
    <w:uiPriority w:val="99"/>
    <w:semiHidden/>
    <w:rsid w:val="00ED511A"/>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ED511A"/>
    <w:rPr>
      <w:rFonts w:ascii="Tahoma" w:hAnsi="Tahoma" w:cs="Times New Roman"/>
      <w:sz w:val="16"/>
    </w:rPr>
  </w:style>
  <w:style w:type="character" w:styleId="Enfasigrassetto">
    <w:name w:val="Strong"/>
    <w:basedOn w:val="Carpredefinitoparagrafo"/>
    <w:uiPriority w:val="99"/>
    <w:qFormat/>
    <w:rsid w:val="00540B1C"/>
    <w:rPr>
      <w:rFonts w:cs="Times New Roman"/>
      <w:b/>
    </w:rPr>
  </w:style>
  <w:style w:type="paragraph" w:styleId="Corpotesto">
    <w:name w:val="Body Text"/>
    <w:basedOn w:val="Normale"/>
    <w:link w:val="CorpotestoCarattere"/>
    <w:uiPriority w:val="99"/>
    <w:semiHidden/>
    <w:rsid w:val="00B62B79"/>
    <w:pPr>
      <w:spacing w:after="120"/>
    </w:pPr>
    <w:rPr>
      <w:sz w:val="20"/>
      <w:szCs w:val="20"/>
    </w:rPr>
  </w:style>
  <w:style w:type="character" w:customStyle="1" w:styleId="CorpotestoCarattere">
    <w:name w:val="Corpo testo Carattere"/>
    <w:basedOn w:val="Carpredefinitoparagrafo"/>
    <w:link w:val="Corpotesto"/>
    <w:uiPriority w:val="99"/>
    <w:semiHidden/>
    <w:locked/>
    <w:rsid w:val="00B62B79"/>
    <w:rPr>
      <w:rFonts w:ascii="Times New Roman" w:hAnsi="Times New Roman" w:cs="Times New Roman"/>
    </w:rPr>
  </w:style>
  <w:style w:type="paragraph" w:customStyle="1" w:styleId="Paragrafoelenco1">
    <w:name w:val="Paragrafo elenco1"/>
    <w:basedOn w:val="Normale"/>
    <w:uiPriority w:val="99"/>
    <w:rsid w:val="00B62B79"/>
    <w:pPr>
      <w:ind w:left="720"/>
      <w:contextualSpacing/>
    </w:pPr>
  </w:style>
  <w:style w:type="paragraph" w:styleId="NormaleWeb">
    <w:name w:val="Normal (Web)"/>
    <w:basedOn w:val="Normale"/>
    <w:rsid w:val="00B62B79"/>
    <w:pPr>
      <w:spacing w:before="100" w:beforeAutospacing="1" w:after="100" w:afterAutospacing="1"/>
      <w:ind w:firstLine="0"/>
    </w:pPr>
  </w:style>
  <w:style w:type="paragraph" w:styleId="Intestazione">
    <w:name w:val="header"/>
    <w:basedOn w:val="Normale"/>
    <w:link w:val="IntestazioneCarattere"/>
    <w:uiPriority w:val="99"/>
    <w:rsid w:val="00CC39BD"/>
    <w:pPr>
      <w:tabs>
        <w:tab w:val="center" w:pos="4819"/>
        <w:tab w:val="right" w:pos="9638"/>
      </w:tabs>
    </w:pPr>
  </w:style>
  <w:style w:type="character" w:customStyle="1" w:styleId="IntestazioneCarattere">
    <w:name w:val="Intestazione Carattere"/>
    <w:basedOn w:val="Carpredefinitoparagrafo"/>
    <w:link w:val="Intestazione"/>
    <w:uiPriority w:val="99"/>
    <w:locked/>
    <w:rsid w:val="00CC39BD"/>
    <w:rPr>
      <w:rFonts w:ascii="Times New Roman" w:hAnsi="Times New Roman" w:cs="Times New Roman"/>
      <w:sz w:val="24"/>
    </w:rPr>
  </w:style>
  <w:style w:type="character" w:customStyle="1" w:styleId="CharacterStyle1">
    <w:name w:val="Character Style 1"/>
    <w:uiPriority w:val="99"/>
    <w:rsid w:val="002717D2"/>
    <w:rPr>
      <w:sz w:val="24"/>
    </w:rPr>
  </w:style>
  <w:style w:type="paragraph" w:customStyle="1" w:styleId="sentcenter">
    <w:name w:val="sent_center"/>
    <w:basedOn w:val="Normale"/>
    <w:rsid w:val="00B91F3F"/>
    <w:pPr>
      <w:spacing w:before="100" w:beforeAutospacing="1" w:after="100" w:afterAutospacing="1"/>
      <w:ind w:firstLine="0"/>
      <w:jc w:val="center"/>
    </w:pPr>
    <w:rPr>
      <w:rFonts w:ascii="Arial Unicode MS" w:eastAsia="Arial Unicode MS" w:hAnsi="Arial Unicode MS" w:cs="Arial Unicode MS"/>
    </w:rPr>
  </w:style>
  <w:style w:type="paragraph" w:customStyle="1" w:styleId="CdcIntestazionecopertina">
    <w:name w:val="Cdc_ Intestazione copertina"/>
    <w:basedOn w:val="Normale"/>
    <w:link w:val="CdcIntestazionecopertinaCarattere"/>
    <w:qFormat/>
    <w:rsid w:val="00514732"/>
    <w:pPr>
      <w:spacing w:after="160" w:line="276" w:lineRule="auto"/>
      <w:ind w:firstLine="0"/>
    </w:pPr>
    <w:rPr>
      <w:rFonts w:ascii="Bodoni MT" w:eastAsia="Times New Roman" w:hAnsi="Bodoni MT"/>
      <w:caps/>
      <w:sz w:val="36"/>
      <w:szCs w:val="36"/>
      <w:lang w:eastAsia="en-US"/>
    </w:rPr>
  </w:style>
  <w:style w:type="character" w:customStyle="1" w:styleId="CdcIntestazionecopertinaCarattere">
    <w:name w:val="Cdc_ Intestazione copertina Carattere"/>
    <w:basedOn w:val="Carpredefinitoparagrafo"/>
    <w:link w:val="CdcIntestazionecopertina"/>
    <w:rsid w:val="00514732"/>
    <w:rPr>
      <w:rFonts w:ascii="Bodoni MT" w:eastAsia="Times New Roman" w:hAnsi="Bodoni MT"/>
      <w:caps/>
      <w:sz w:val="36"/>
      <w:szCs w:val="36"/>
      <w:lang w:eastAsia="en-US"/>
    </w:rPr>
  </w:style>
  <w:style w:type="paragraph" w:customStyle="1" w:styleId="CdcTitolocopertina">
    <w:name w:val="Cdc_Titolo copertina"/>
    <w:basedOn w:val="Normale"/>
    <w:link w:val="CdcTitolocopertinaCarattere"/>
    <w:qFormat/>
    <w:rsid w:val="00514732"/>
    <w:pPr>
      <w:spacing w:after="160"/>
      <w:ind w:firstLine="0"/>
      <w:jc w:val="center"/>
    </w:pPr>
    <w:rPr>
      <w:rFonts w:ascii="Arial" w:eastAsia="Times New Roman" w:hAnsi="Arial" w:cs="Arial"/>
      <w:b/>
      <w:color w:val="FFFFFF"/>
      <w:sz w:val="60"/>
      <w:szCs w:val="56"/>
      <w:lang w:eastAsia="en-US"/>
    </w:rPr>
  </w:style>
  <w:style w:type="character" w:customStyle="1" w:styleId="CdcTitolocopertinaCarattere">
    <w:name w:val="Cdc_Titolo copertina Carattere"/>
    <w:basedOn w:val="Carpredefinitoparagrafo"/>
    <w:link w:val="CdcTitolocopertina"/>
    <w:rsid w:val="00514732"/>
    <w:rPr>
      <w:rFonts w:ascii="Arial" w:eastAsia="Times New Roman" w:hAnsi="Arial" w:cs="Arial"/>
      <w:b/>
      <w:color w:val="FFFFFF"/>
      <w:sz w:val="60"/>
      <w:szCs w:val="56"/>
      <w:lang w:eastAsia="en-US"/>
    </w:rPr>
  </w:style>
  <w:style w:type="paragraph" w:customStyle="1" w:styleId="CdcUdienzacopertina">
    <w:name w:val="Cdc_Udienza copertina"/>
    <w:basedOn w:val="Normale"/>
    <w:link w:val="CdcUdienzacopertinaCarattere"/>
    <w:qFormat/>
    <w:rsid w:val="00514732"/>
    <w:pPr>
      <w:spacing w:after="160" w:line="276" w:lineRule="auto"/>
      <w:ind w:firstLine="0"/>
      <w:jc w:val="center"/>
    </w:pPr>
    <w:rPr>
      <w:rFonts w:ascii="Arial" w:eastAsia="Times New Roman" w:hAnsi="Arial" w:cs="Arial"/>
      <w:b/>
      <w:i/>
      <w:sz w:val="36"/>
      <w:szCs w:val="36"/>
      <w:lang w:eastAsia="en-US"/>
    </w:rPr>
  </w:style>
  <w:style w:type="character" w:customStyle="1" w:styleId="CdcUdienzacopertinaCarattere">
    <w:name w:val="Cdc_Udienza copertina Carattere"/>
    <w:basedOn w:val="Carpredefinitoparagrafo"/>
    <w:link w:val="CdcUdienzacopertina"/>
    <w:rsid w:val="00514732"/>
    <w:rPr>
      <w:rFonts w:ascii="Arial" w:eastAsia="Times New Roman" w:hAnsi="Arial" w:cs="Arial"/>
      <w:b/>
      <w:i/>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35528">
      <w:bodyDiv w:val="1"/>
      <w:marLeft w:val="0"/>
      <w:marRight w:val="0"/>
      <w:marTop w:val="0"/>
      <w:marBottom w:val="0"/>
      <w:divBdr>
        <w:top w:val="none" w:sz="0" w:space="0" w:color="auto"/>
        <w:left w:val="none" w:sz="0" w:space="0" w:color="auto"/>
        <w:bottom w:val="none" w:sz="0" w:space="0" w:color="auto"/>
        <w:right w:val="none" w:sz="0" w:space="0" w:color="auto"/>
      </w:divBdr>
    </w:div>
    <w:div w:id="272053265">
      <w:bodyDiv w:val="1"/>
      <w:marLeft w:val="0"/>
      <w:marRight w:val="0"/>
      <w:marTop w:val="0"/>
      <w:marBottom w:val="0"/>
      <w:divBdr>
        <w:top w:val="none" w:sz="0" w:space="0" w:color="auto"/>
        <w:left w:val="none" w:sz="0" w:space="0" w:color="auto"/>
        <w:bottom w:val="none" w:sz="0" w:space="0" w:color="auto"/>
        <w:right w:val="none" w:sz="0" w:space="0" w:color="auto"/>
      </w:divBdr>
    </w:div>
    <w:div w:id="392046253">
      <w:marLeft w:val="0"/>
      <w:marRight w:val="0"/>
      <w:marTop w:val="0"/>
      <w:marBottom w:val="0"/>
      <w:divBdr>
        <w:top w:val="none" w:sz="0" w:space="0" w:color="auto"/>
        <w:left w:val="none" w:sz="0" w:space="0" w:color="auto"/>
        <w:bottom w:val="none" w:sz="0" w:space="0" w:color="auto"/>
        <w:right w:val="none" w:sz="0" w:space="0" w:color="auto"/>
      </w:divBdr>
    </w:div>
    <w:div w:id="392046254">
      <w:marLeft w:val="0"/>
      <w:marRight w:val="0"/>
      <w:marTop w:val="0"/>
      <w:marBottom w:val="0"/>
      <w:divBdr>
        <w:top w:val="none" w:sz="0" w:space="0" w:color="auto"/>
        <w:left w:val="none" w:sz="0" w:space="0" w:color="auto"/>
        <w:bottom w:val="none" w:sz="0" w:space="0" w:color="auto"/>
        <w:right w:val="none" w:sz="0" w:space="0" w:color="auto"/>
      </w:divBdr>
    </w:div>
    <w:div w:id="392046255">
      <w:marLeft w:val="0"/>
      <w:marRight w:val="0"/>
      <w:marTop w:val="0"/>
      <w:marBottom w:val="0"/>
      <w:divBdr>
        <w:top w:val="none" w:sz="0" w:space="0" w:color="auto"/>
        <w:left w:val="none" w:sz="0" w:space="0" w:color="auto"/>
        <w:bottom w:val="none" w:sz="0" w:space="0" w:color="auto"/>
        <w:right w:val="none" w:sz="0" w:space="0" w:color="auto"/>
      </w:divBdr>
    </w:div>
    <w:div w:id="608316930">
      <w:bodyDiv w:val="1"/>
      <w:marLeft w:val="0"/>
      <w:marRight w:val="0"/>
      <w:marTop w:val="0"/>
      <w:marBottom w:val="0"/>
      <w:divBdr>
        <w:top w:val="none" w:sz="0" w:space="0" w:color="auto"/>
        <w:left w:val="none" w:sz="0" w:space="0" w:color="auto"/>
        <w:bottom w:val="none" w:sz="0" w:space="0" w:color="auto"/>
        <w:right w:val="none" w:sz="0" w:space="0" w:color="auto"/>
      </w:divBdr>
    </w:div>
    <w:div w:id="626278235">
      <w:bodyDiv w:val="1"/>
      <w:marLeft w:val="0"/>
      <w:marRight w:val="0"/>
      <w:marTop w:val="0"/>
      <w:marBottom w:val="0"/>
      <w:divBdr>
        <w:top w:val="none" w:sz="0" w:space="0" w:color="auto"/>
        <w:left w:val="none" w:sz="0" w:space="0" w:color="auto"/>
        <w:bottom w:val="none" w:sz="0" w:space="0" w:color="auto"/>
        <w:right w:val="none" w:sz="0" w:space="0" w:color="auto"/>
      </w:divBdr>
    </w:div>
    <w:div w:id="723263130">
      <w:bodyDiv w:val="1"/>
      <w:marLeft w:val="0"/>
      <w:marRight w:val="0"/>
      <w:marTop w:val="0"/>
      <w:marBottom w:val="0"/>
      <w:divBdr>
        <w:top w:val="none" w:sz="0" w:space="0" w:color="auto"/>
        <w:left w:val="none" w:sz="0" w:space="0" w:color="auto"/>
        <w:bottom w:val="none" w:sz="0" w:space="0" w:color="auto"/>
        <w:right w:val="none" w:sz="0" w:space="0" w:color="auto"/>
      </w:divBdr>
    </w:div>
    <w:div w:id="977226994">
      <w:bodyDiv w:val="1"/>
      <w:marLeft w:val="0"/>
      <w:marRight w:val="0"/>
      <w:marTop w:val="0"/>
      <w:marBottom w:val="0"/>
      <w:divBdr>
        <w:top w:val="none" w:sz="0" w:space="0" w:color="auto"/>
        <w:left w:val="none" w:sz="0" w:space="0" w:color="auto"/>
        <w:bottom w:val="none" w:sz="0" w:space="0" w:color="auto"/>
        <w:right w:val="none" w:sz="0" w:space="0" w:color="auto"/>
      </w:divBdr>
    </w:div>
    <w:div w:id="1242442947">
      <w:bodyDiv w:val="1"/>
      <w:marLeft w:val="0"/>
      <w:marRight w:val="0"/>
      <w:marTop w:val="0"/>
      <w:marBottom w:val="0"/>
      <w:divBdr>
        <w:top w:val="none" w:sz="0" w:space="0" w:color="auto"/>
        <w:left w:val="none" w:sz="0" w:space="0" w:color="auto"/>
        <w:bottom w:val="none" w:sz="0" w:space="0" w:color="auto"/>
        <w:right w:val="none" w:sz="0" w:space="0" w:color="auto"/>
      </w:divBdr>
    </w:div>
    <w:div w:id="1329674445">
      <w:bodyDiv w:val="1"/>
      <w:marLeft w:val="0"/>
      <w:marRight w:val="0"/>
      <w:marTop w:val="0"/>
      <w:marBottom w:val="0"/>
      <w:divBdr>
        <w:top w:val="none" w:sz="0" w:space="0" w:color="auto"/>
        <w:left w:val="none" w:sz="0" w:space="0" w:color="auto"/>
        <w:bottom w:val="none" w:sz="0" w:space="0" w:color="auto"/>
        <w:right w:val="none" w:sz="0" w:space="0" w:color="auto"/>
      </w:divBdr>
    </w:div>
    <w:div w:id="1457866322">
      <w:bodyDiv w:val="1"/>
      <w:marLeft w:val="0"/>
      <w:marRight w:val="0"/>
      <w:marTop w:val="0"/>
      <w:marBottom w:val="0"/>
      <w:divBdr>
        <w:top w:val="none" w:sz="0" w:space="0" w:color="auto"/>
        <w:left w:val="none" w:sz="0" w:space="0" w:color="auto"/>
        <w:bottom w:val="none" w:sz="0" w:space="0" w:color="auto"/>
        <w:right w:val="none" w:sz="0" w:space="0" w:color="auto"/>
      </w:divBdr>
    </w:div>
    <w:div w:id="1478689509">
      <w:bodyDiv w:val="1"/>
      <w:marLeft w:val="0"/>
      <w:marRight w:val="0"/>
      <w:marTop w:val="0"/>
      <w:marBottom w:val="0"/>
      <w:divBdr>
        <w:top w:val="none" w:sz="0" w:space="0" w:color="auto"/>
        <w:left w:val="none" w:sz="0" w:space="0" w:color="auto"/>
        <w:bottom w:val="none" w:sz="0" w:space="0" w:color="auto"/>
        <w:right w:val="none" w:sz="0" w:space="0" w:color="auto"/>
      </w:divBdr>
    </w:div>
    <w:div w:id="1754545196">
      <w:bodyDiv w:val="1"/>
      <w:marLeft w:val="0"/>
      <w:marRight w:val="0"/>
      <w:marTop w:val="0"/>
      <w:marBottom w:val="0"/>
      <w:divBdr>
        <w:top w:val="none" w:sz="0" w:space="0" w:color="auto"/>
        <w:left w:val="none" w:sz="0" w:space="0" w:color="auto"/>
        <w:bottom w:val="none" w:sz="0" w:space="0" w:color="auto"/>
        <w:right w:val="none" w:sz="0" w:space="0" w:color="auto"/>
      </w:divBdr>
    </w:div>
    <w:div w:id="1805854811">
      <w:bodyDiv w:val="1"/>
      <w:marLeft w:val="0"/>
      <w:marRight w:val="0"/>
      <w:marTop w:val="0"/>
      <w:marBottom w:val="0"/>
      <w:divBdr>
        <w:top w:val="none" w:sz="0" w:space="0" w:color="auto"/>
        <w:left w:val="none" w:sz="0" w:space="0" w:color="auto"/>
        <w:bottom w:val="none" w:sz="0" w:space="0" w:color="auto"/>
        <w:right w:val="none" w:sz="0" w:space="0" w:color="auto"/>
      </w:divBdr>
    </w:div>
    <w:div w:id="212988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CF8FF-3D3D-4AF7-86BC-26A34F64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2845</Words>
  <Characters>16592</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BOZZA</vt:lpstr>
    </vt:vector>
  </TitlesOfParts>
  <Company>home</Company>
  <LinksUpToDate>false</LinksUpToDate>
  <CharactersWithSpaces>19399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dc:title>
  <dc:subject/>
  <dc:creator>Cosa Paola;paola.cosa@corteconti.it</dc:creator>
  <cp:keywords/>
  <dc:description/>
  <cp:lastModifiedBy>Marzella Grazia</cp:lastModifiedBy>
  <cp:revision>3</cp:revision>
  <cp:lastPrinted>2018-07-27T08:42:00Z</cp:lastPrinted>
  <dcterms:created xsi:type="dcterms:W3CDTF">2018-07-30T08:47:00Z</dcterms:created>
  <dcterms:modified xsi:type="dcterms:W3CDTF">2018-08-01T11:09:00Z</dcterms:modified>
</cp:coreProperties>
</file>