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50EFD" w14:textId="19E7232A" w:rsidR="00AA2BE8" w:rsidRPr="009E39B0" w:rsidRDefault="00AA2BE8" w:rsidP="00AA2BE8">
      <w:pPr>
        <w:tabs>
          <w:tab w:val="left" w:pos="4253"/>
        </w:tabs>
        <w:spacing w:before="2400" w:after="120"/>
        <w:ind w:firstLine="0"/>
        <w:jc w:val="both"/>
        <w:rPr>
          <w:rFonts w:ascii="Book Antiqua" w:eastAsia="Times New Roman" w:hAnsi="Book Antiqua"/>
          <w:szCs w:val="22"/>
        </w:rPr>
      </w:pPr>
      <w:r w:rsidRPr="009E39B0">
        <w:rPr>
          <w:noProof/>
        </w:rPr>
        <w:drawing>
          <wp:anchor distT="0" distB="0" distL="114300" distR="114300" simplePos="0" relativeHeight="251660288" behindDoc="0" locked="0" layoutInCell="1" allowOverlap="1" wp14:anchorId="700C937F" wp14:editId="2D835B69">
            <wp:simplePos x="0" y="0"/>
            <wp:positionH relativeFrom="page">
              <wp:posOffset>2653030</wp:posOffset>
            </wp:positionH>
            <wp:positionV relativeFrom="page">
              <wp:posOffset>582930</wp:posOffset>
            </wp:positionV>
            <wp:extent cx="2227580" cy="1190625"/>
            <wp:effectExtent l="0" t="0" r="1270" b="9525"/>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7580" cy="1190625"/>
                    </a:xfrm>
                    <a:prstGeom prst="rect">
                      <a:avLst/>
                    </a:prstGeom>
                    <a:noFill/>
                  </pic:spPr>
                </pic:pic>
              </a:graphicData>
            </a:graphic>
            <wp14:sizeRelH relativeFrom="margin">
              <wp14:pctWidth>0</wp14:pctWidth>
            </wp14:sizeRelH>
            <wp14:sizeRelV relativeFrom="margin">
              <wp14:pctHeight>0</wp14:pctHeight>
            </wp14:sizeRelV>
          </wp:anchor>
        </w:drawing>
      </w:r>
      <w:r w:rsidRPr="009E39B0">
        <w:rPr>
          <w:noProof/>
        </w:rPr>
        <w:drawing>
          <wp:anchor distT="0" distB="0" distL="114300" distR="114300" simplePos="0" relativeHeight="251659264" behindDoc="0" locked="0" layoutInCell="1" allowOverlap="1" wp14:anchorId="235690C1" wp14:editId="4AFC0C23">
            <wp:simplePos x="0" y="0"/>
            <wp:positionH relativeFrom="margin">
              <wp:align>center</wp:align>
            </wp:positionH>
            <wp:positionV relativeFrom="paragraph">
              <wp:posOffset>3810</wp:posOffset>
            </wp:positionV>
            <wp:extent cx="605790" cy="619125"/>
            <wp:effectExtent l="0" t="0" r="3810" b="9525"/>
            <wp:wrapSquare wrapText="lef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90" cy="619125"/>
                    </a:xfrm>
                    <a:prstGeom prst="rect">
                      <a:avLst/>
                    </a:prstGeom>
                    <a:noFill/>
                  </pic:spPr>
                </pic:pic>
              </a:graphicData>
            </a:graphic>
            <wp14:sizeRelH relativeFrom="page">
              <wp14:pctWidth>0</wp14:pctWidth>
            </wp14:sizeRelH>
            <wp14:sizeRelV relativeFrom="page">
              <wp14:pctHeight>0</wp14:pctHeight>
            </wp14:sizeRelV>
          </wp:anchor>
        </w:drawing>
      </w:r>
      <w:r w:rsidRPr="009E39B0">
        <w:rPr>
          <w:noProof/>
        </w:rPr>
        <mc:AlternateContent>
          <mc:Choice Requires="wps">
            <w:drawing>
              <wp:anchor distT="0" distB="0" distL="114300" distR="114300" simplePos="0" relativeHeight="251661312" behindDoc="0" locked="0" layoutInCell="1" allowOverlap="1" wp14:anchorId="426A7441" wp14:editId="08FABDC7">
                <wp:simplePos x="0" y="0"/>
                <wp:positionH relativeFrom="page">
                  <wp:posOffset>-20955</wp:posOffset>
                </wp:positionH>
                <wp:positionV relativeFrom="page">
                  <wp:posOffset>1914525</wp:posOffset>
                </wp:positionV>
                <wp:extent cx="7563485" cy="371475"/>
                <wp:effectExtent l="0" t="0" r="0" b="952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3485" cy="371475"/>
                        </a:xfrm>
                        <a:prstGeom prst="rect">
                          <a:avLst/>
                        </a:prstGeom>
                        <a:noFill/>
                        <a:ln>
                          <a:noFill/>
                        </a:ln>
                        <a:extLst/>
                      </wps:spPr>
                      <wps:txbx>
                        <w:txbxContent>
                          <w:p w14:paraId="2063E997" w14:textId="77777777" w:rsidR="00057E2C" w:rsidRDefault="00057E2C" w:rsidP="00AA2BE8">
                            <w:pPr>
                              <w:pStyle w:val="CdcIntestazionecopertina"/>
                              <w:jc w:val="center"/>
                              <w:rPr>
                                <w:rFonts w:ascii="Book Antiqua" w:hAnsi="Book Antiqua"/>
                                <w:sz w:val="28"/>
                                <w:szCs w:val="28"/>
                              </w:rPr>
                            </w:pPr>
                            <w:bookmarkStart w:id="0" w:name="_Hlk519840537"/>
                            <w:bookmarkStart w:id="1" w:name="_Hlk519840536"/>
                            <w:bookmarkStart w:id="2" w:name="_Hlk519840535"/>
                            <w:r>
                              <w:rPr>
                                <w:rFonts w:ascii="Book Antiqua" w:hAnsi="Book Antiqua"/>
                                <w:sz w:val="28"/>
                                <w:szCs w:val="28"/>
                              </w:rPr>
                              <w:t>Sezione delle autonomie</w:t>
                            </w:r>
                            <w:bookmarkEnd w:id="0"/>
                            <w:bookmarkEnd w:id="1"/>
                            <w:bookmarkEnd w:id="2"/>
                          </w:p>
                        </w:txbxContent>
                      </wps:txbx>
                      <wps:bodyPr rot="0" vert="horz" wrap="square" lIns="720000" tIns="45720" rIns="72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A7441" id="_x0000_t202" coordsize="21600,21600" o:spt="202" path="m,l,21600r21600,l21600,xe">
                <v:stroke joinstyle="miter"/>
                <v:path gradientshapeok="t" o:connecttype="rect"/>
              </v:shapetype>
              <v:shape id="Casella di testo 6" o:spid="_x0000_s1026" type="#_x0000_t202" style="position:absolute;left:0;text-align:left;margin-left:-1.65pt;margin-top:150.75pt;width:595.55pt;height:2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" filled="f" stroked="f">
                <v:textbox inset="20mm,,20mm">
                  <w:txbxContent>
                    <w:p w14:paraId="2063E997" w14:textId="77777777" w:rsidR="00057E2C" w:rsidRDefault="00057E2C" w:rsidP="00AA2BE8">
                      <w:pPr>
                        <w:pStyle w:val="CdcIntestazionecopertina"/>
                        <w:jc w:val="center"/>
                        <w:rPr>
                          <w:rFonts w:ascii="Book Antiqua" w:hAnsi="Book Antiqua"/>
                          <w:sz w:val="28"/>
                          <w:szCs w:val="28"/>
                        </w:rPr>
                      </w:pPr>
                      <w:bookmarkStart w:id="3" w:name="_Hlk519840537"/>
                      <w:bookmarkStart w:id="4" w:name="_Hlk519840536"/>
                      <w:bookmarkStart w:id="5" w:name="_Hlk519840535"/>
                      <w:r>
                        <w:rPr>
                          <w:rFonts w:ascii="Book Antiqua" w:hAnsi="Book Antiqua"/>
                          <w:sz w:val="28"/>
                          <w:szCs w:val="28"/>
                        </w:rPr>
                        <w:t>Sezione delle autonomie</w:t>
                      </w:r>
                      <w:bookmarkEnd w:id="3"/>
                      <w:bookmarkEnd w:id="4"/>
                      <w:bookmarkEnd w:id="5"/>
                    </w:p>
                  </w:txbxContent>
                </v:textbox>
                <w10:wrap anchorx="page" anchory="page"/>
              </v:shape>
            </w:pict>
          </mc:Fallback>
        </mc:AlternateContent>
      </w:r>
      <w:r w:rsidR="00D36834">
        <w:rPr>
          <w:rFonts w:ascii="Book Antiqua" w:eastAsia="Times New Roman" w:hAnsi="Book Antiqua"/>
        </w:rPr>
        <w:t>N.</w:t>
      </w:r>
      <w:r w:rsidR="00E22DE3">
        <w:rPr>
          <w:rFonts w:ascii="Book Antiqua" w:eastAsia="Times New Roman" w:hAnsi="Book Antiqua"/>
        </w:rPr>
        <w:t xml:space="preserve"> 5</w:t>
      </w:r>
      <w:r w:rsidRPr="009E39B0">
        <w:rPr>
          <w:rFonts w:ascii="Book Antiqua" w:eastAsia="Times New Roman" w:hAnsi="Book Antiqua"/>
        </w:rPr>
        <w:t>/SEZAUT/201</w:t>
      </w:r>
      <w:r w:rsidR="00C13E9E">
        <w:rPr>
          <w:rFonts w:ascii="Book Antiqua" w:eastAsia="Times New Roman" w:hAnsi="Book Antiqua"/>
        </w:rPr>
        <w:t>9</w:t>
      </w:r>
      <w:r w:rsidRPr="009E39B0">
        <w:rPr>
          <w:rFonts w:ascii="Book Antiqua" w:eastAsia="Times New Roman" w:hAnsi="Book Antiqua"/>
        </w:rPr>
        <w:t>/QMIG</w:t>
      </w:r>
    </w:p>
    <w:p w14:paraId="6B8EAA73" w14:textId="48DADB04" w:rsidR="00171E70" w:rsidRPr="005429AD" w:rsidRDefault="00171E70" w:rsidP="00171E70">
      <w:pPr>
        <w:autoSpaceDE w:val="0"/>
        <w:autoSpaceDN w:val="0"/>
        <w:adjustRightInd w:val="0"/>
        <w:spacing w:after="80" w:line="340" w:lineRule="exact"/>
        <w:ind w:firstLine="0"/>
        <w:jc w:val="center"/>
        <w:rPr>
          <w:rFonts w:ascii="Book Antiqua" w:eastAsia="Times New Roman" w:hAnsi="Book Antiqua"/>
        </w:rPr>
      </w:pPr>
      <w:r w:rsidRPr="005429AD">
        <w:rPr>
          <w:rFonts w:ascii="Book Antiqua" w:eastAsia="Times New Roman" w:hAnsi="Book Antiqua"/>
        </w:rPr>
        <w:t xml:space="preserve">Adunanza del </w:t>
      </w:r>
      <w:r w:rsidR="00C13E9E">
        <w:rPr>
          <w:rFonts w:ascii="Book Antiqua" w:eastAsia="Times New Roman" w:hAnsi="Book Antiqua"/>
        </w:rPr>
        <w:t>22 marzo</w:t>
      </w:r>
      <w:r w:rsidRPr="005429AD">
        <w:rPr>
          <w:rFonts w:ascii="Book Antiqua" w:eastAsia="Times New Roman" w:hAnsi="Book Antiqua"/>
        </w:rPr>
        <w:t xml:space="preserve"> 201</w:t>
      </w:r>
      <w:r w:rsidR="00C13E9E">
        <w:rPr>
          <w:rFonts w:ascii="Book Antiqua" w:eastAsia="Times New Roman" w:hAnsi="Book Antiqua"/>
        </w:rPr>
        <w:t>9</w:t>
      </w:r>
    </w:p>
    <w:p w14:paraId="5B2DEC38" w14:textId="77777777" w:rsidR="00171E70" w:rsidRPr="005429AD" w:rsidRDefault="00171E70" w:rsidP="00171E70">
      <w:pPr>
        <w:autoSpaceDE w:val="0"/>
        <w:autoSpaceDN w:val="0"/>
        <w:adjustRightInd w:val="0"/>
        <w:spacing w:after="80" w:line="340" w:lineRule="exact"/>
        <w:ind w:firstLine="0"/>
        <w:jc w:val="center"/>
        <w:rPr>
          <w:rFonts w:ascii="Book Antiqua" w:eastAsia="Times New Roman" w:hAnsi="Book Antiqua"/>
        </w:rPr>
      </w:pPr>
      <w:r w:rsidRPr="005429AD">
        <w:rPr>
          <w:rFonts w:ascii="Book Antiqua" w:eastAsia="Times New Roman" w:hAnsi="Book Antiqua"/>
        </w:rPr>
        <w:t>Presieduta dal Presidente della Corte dei conti</w:t>
      </w:r>
    </w:p>
    <w:p w14:paraId="0BCC16A9" w14:textId="77777777" w:rsidR="00171E70" w:rsidRPr="005429AD" w:rsidRDefault="00171E70" w:rsidP="00171E70">
      <w:pPr>
        <w:autoSpaceDE w:val="0"/>
        <w:autoSpaceDN w:val="0"/>
        <w:adjustRightInd w:val="0"/>
        <w:spacing w:after="80" w:line="340" w:lineRule="exact"/>
        <w:ind w:firstLine="0"/>
        <w:jc w:val="center"/>
        <w:rPr>
          <w:rFonts w:ascii="Book Antiqua" w:eastAsia="Times New Roman" w:hAnsi="Book Antiqua"/>
        </w:rPr>
      </w:pPr>
      <w:r w:rsidRPr="005429AD">
        <w:rPr>
          <w:rFonts w:ascii="Book Antiqua" w:hAnsi="Book Antiqua"/>
        </w:rPr>
        <w:t>Angelo BUSCEMA</w:t>
      </w:r>
    </w:p>
    <w:p w14:paraId="2F8DFD9B" w14:textId="77777777" w:rsidR="00171E70" w:rsidRPr="005429AD" w:rsidRDefault="00171E70" w:rsidP="00171E70">
      <w:pPr>
        <w:autoSpaceDE w:val="0"/>
        <w:autoSpaceDN w:val="0"/>
        <w:adjustRightInd w:val="0"/>
        <w:spacing w:after="120" w:line="340" w:lineRule="exact"/>
        <w:ind w:firstLine="0"/>
        <w:jc w:val="both"/>
        <w:rPr>
          <w:rFonts w:ascii="Book Antiqua" w:eastAsia="Calibri" w:hAnsi="Book Antiqua"/>
          <w:lang w:eastAsia="en-US"/>
        </w:rPr>
      </w:pPr>
      <w:r w:rsidRPr="005429AD">
        <w:rPr>
          <w:rFonts w:ascii="Book Antiqua" w:eastAsia="Calibri" w:hAnsi="Book Antiqua"/>
          <w:lang w:eastAsia="en-US"/>
        </w:rPr>
        <w:t>Composta dai magistrati:</w:t>
      </w:r>
    </w:p>
    <w:p w14:paraId="677BDEE2" w14:textId="35F3BE03" w:rsidR="00057F2A" w:rsidRPr="002D6E55" w:rsidRDefault="00057F2A" w:rsidP="00057F2A">
      <w:pPr>
        <w:spacing w:after="80" w:line="340" w:lineRule="exact"/>
        <w:ind w:left="3119" w:hanging="3119"/>
        <w:jc w:val="both"/>
        <w:rPr>
          <w:rFonts w:ascii="Book Antiqua" w:hAnsi="Book Antiqua"/>
        </w:rPr>
      </w:pPr>
      <w:bookmarkStart w:id="3" w:name="_Hlk533154958"/>
      <w:r w:rsidRPr="005429AD">
        <w:rPr>
          <w:rFonts w:ascii="Book Antiqua" w:hAnsi="Book Antiqua"/>
        </w:rPr>
        <w:t>Presidenti di sezione</w:t>
      </w:r>
      <w:r w:rsidRPr="005429AD">
        <w:rPr>
          <w:rFonts w:ascii="Book Antiqua" w:hAnsi="Book Antiqua"/>
        </w:rPr>
        <w:tab/>
      </w:r>
      <w:r w:rsidRPr="002D6E55">
        <w:rPr>
          <w:rFonts w:ascii="Book Antiqua" w:hAnsi="Book Antiqua"/>
        </w:rPr>
        <w:t xml:space="preserve">Adolfo Teobaldo DE GIROLAMO, </w:t>
      </w:r>
      <w:r>
        <w:rPr>
          <w:rFonts w:ascii="Book Antiqua" w:hAnsi="Book Antiqua"/>
        </w:rPr>
        <w:t xml:space="preserve">Maurizio GRAFFEO, </w:t>
      </w:r>
      <w:r w:rsidRPr="002D6E55">
        <w:rPr>
          <w:rFonts w:ascii="Book Antiqua" w:hAnsi="Book Antiqua"/>
        </w:rPr>
        <w:t xml:space="preserve">Simonetta ROSA, Francesco PETRONIO, Josef Hermann RÖSSLER, Cristina ZUCCHERETTI, </w:t>
      </w:r>
      <w:r w:rsidR="00C13E9E">
        <w:rPr>
          <w:rFonts w:ascii="Book Antiqua" w:hAnsi="Book Antiqua"/>
        </w:rPr>
        <w:t>Fulvio Maria LONGAVITA, Maurizio STANCO, Andrea ZACCHIA</w:t>
      </w:r>
      <w:r w:rsidRPr="002D6E55">
        <w:rPr>
          <w:rFonts w:ascii="Book Antiqua" w:hAnsi="Book Antiqua"/>
        </w:rPr>
        <w:t>;</w:t>
      </w:r>
    </w:p>
    <w:p w14:paraId="1622801C" w14:textId="2FAAC5D7" w:rsidR="00057F2A" w:rsidRPr="002D6E55" w:rsidRDefault="00057F2A" w:rsidP="00057F2A">
      <w:pPr>
        <w:spacing w:after="80" w:line="340" w:lineRule="exact"/>
        <w:ind w:left="3119" w:hanging="3119"/>
        <w:jc w:val="both"/>
        <w:rPr>
          <w:rFonts w:ascii="Book Antiqua" w:hAnsi="Book Antiqua"/>
        </w:rPr>
      </w:pPr>
      <w:r w:rsidRPr="002D6E55">
        <w:rPr>
          <w:rFonts w:ascii="Book Antiqua" w:hAnsi="Book Antiqua"/>
        </w:rPr>
        <w:t>Consiglieri</w:t>
      </w:r>
      <w:r w:rsidRPr="002D6E55">
        <w:rPr>
          <w:rFonts w:ascii="Book Antiqua" w:hAnsi="Book Antiqua"/>
        </w:rPr>
        <w:tab/>
        <w:t xml:space="preserve">Carmela IAMELE, Rinieri FERONE, Carmela MIRABELLA, </w:t>
      </w:r>
      <w:r w:rsidR="00C13E9E">
        <w:rPr>
          <w:rFonts w:ascii="Book Antiqua" w:hAnsi="Book Antiqua"/>
        </w:rPr>
        <w:t xml:space="preserve">Adriana LA PORTA, </w:t>
      </w:r>
      <w:r w:rsidRPr="002D6E55">
        <w:rPr>
          <w:rFonts w:ascii="Book Antiqua" w:hAnsi="Book Antiqua"/>
        </w:rPr>
        <w:t xml:space="preserve">Francesco UCCELLO, Adelisa CORSETTI, </w:t>
      </w:r>
      <w:r w:rsidR="00C13E9E">
        <w:rPr>
          <w:rFonts w:ascii="Book Antiqua" w:hAnsi="Book Antiqua"/>
        </w:rPr>
        <w:t>Elena BRANDOLINI, Alessandro PALLAORO,</w:t>
      </w:r>
      <w:r w:rsidRPr="002D6E55">
        <w:rPr>
          <w:rFonts w:ascii="Book Antiqua" w:hAnsi="Book Antiqua"/>
        </w:rPr>
        <w:t xml:space="preserve"> Nicola BENEDIZIONE, Dario PROVVIDERA, </w:t>
      </w:r>
      <w:bookmarkStart w:id="4" w:name="_Hlk533154316"/>
      <w:r w:rsidRPr="002D6E55">
        <w:rPr>
          <w:rFonts w:ascii="Book Antiqua" w:hAnsi="Book Antiqua"/>
        </w:rPr>
        <w:t>Mario ALÌ,</w:t>
      </w:r>
      <w:bookmarkEnd w:id="4"/>
      <w:r w:rsidRPr="002D6E55">
        <w:rPr>
          <w:rFonts w:ascii="Book Antiqua" w:hAnsi="Book Antiqua"/>
        </w:rPr>
        <w:t xml:space="preserve"> </w:t>
      </w:r>
      <w:r w:rsidR="00C13E9E">
        <w:rPr>
          <w:rFonts w:ascii="Book Antiqua" w:hAnsi="Book Antiqua"/>
        </w:rPr>
        <w:t xml:space="preserve">Vincenzo BUSA, Giuseppe IMPARATO, </w:t>
      </w:r>
      <w:r w:rsidRPr="002D6E55">
        <w:rPr>
          <w:rFonts w:ascii="Book Antiqua" w:hAnsi="Book Antiqua"/>
        </w:rPr>
        <w:t xml:space="preserve">Mario GUARANY, Marcello DEGNI, </w:t>
      </w:r>
      <w:r w:rsidR="00AF4DD5">
        <w:rPr>
          <w:rFonts w:ascii="Book Antiqua" w:hAnsi="Book Antiqua"/>
        </w:rPr>
        <w:t xml:space="preserve">Valeria FRANCHI, </w:t>
      </w:r>
      <w:r w:rsidRPr="002D6E55">
        <w:rPr>
          <w:rFonts w:ascii="Book Antiqua" w:hAnsi="Book Antiqua"/>
        </w:rPr>
        <w:t>Giampiero PIZZICONI, Tiziano TESSARO;</w:t>
      </w:r>
    </w:p>
    <w:p w14:paraId="44997D40" w14:textId="42F84BA8" w:rsidR="00057F2A" w:rsidRPr="002D6E55" w:rsidRDefault="00057F2A" w:rsidP="00057F2A">
      <w:pPr>
        <w:spacing w:after="80" w:line="340" w:lineRule="exact"/>
        <w:ind w:left="3119" w:hanging="3119"/>
        <w:jc w:val="both"/>
        <w:rPr>
          <w:rFonts w:ascii="Book Antiqua" w:hAnsi="Book Antiqua"/>
        </w:rPr>
      </w:pPr>
      <w:r w:rsidRPr="002D6E55">
        <w:rPr>
          <w:rFonts w:ascii="Book Antiqua" w:hAnsi="Book Antiqua"/>
        </w:rPr>
        <w:t>Primi Referendari</w:t>
      </w:r>
      <w:r w:rsidRPr="002D6E55">
        <w:rPr>
          <w:rFonts w:ascii="Book Antiqua" w:hAnsi="Book Antiqua"/>
        </w:rPr>
        <w:tab/>
      </w:r>
      <w:r w:rsidR="00C13E9E">
        <w:rPr>
          <w:rFonts w:ascii="Book Antiqua" w:hAnsi="Book Antiqua"/>
        </w:rPr>
        <w:t>Massimo AGLIOCCHI, Vanessa PINTO</w:t>
      </w:r>
      <w:r w:rsidR="004962BF">
        <w:rPr>
          <w:rFonts w:ascii="Book Antiqua" w:hAnsi="Book Antiqua"/>
        </w:rPr>
        <w:t>.</w:t>
      </w:r>
    </w:p>
    <w:bookmarkEnd w:id="3"/>
    <w:p w14:paraId="03D3D12E" w14:textId="5BF3315C" w:rsidR="00AA2BE8" w:rsidRDefault="00AA2BE8" w:rsidP="00937CAE">
      <w:pPr>
        <w:shd w:val="clear" w:color="auto" w:fill="FFFFFF"/>
        <w:spacing w:after="120" w:line="340" w:lineRule="exact"/>
        <w:ind w:firstLine="0"/>
        <w:jc w:val="both"/>
        <w:rPr>
          <w:rFonts w:ascii="Book Antiqua" w:hAnsi="Book Antiqua"/>
          <w:szCs w:val="22"/>
        </w:rPr>
      </w:pPr>
    </w:p>
    <w:p w14:paraId="1BB97582" w14:textId="77777777" w:rsidR="00171E70" w:rsidRPr="009E39B0" w:rsidRDefault="00171E70" w:rsidP="00937CAE">
      <w:pPr>
        <w:shd w:val="clear" w:color="auto" w:fill="FFFFFF"/>
        <w:spacing w:after="120" w:line="340" w:lineRule="exact"/>
        <w:ind w:firstLine="0"/>
        <w:jc w:val="both"/>
        <w:rPr>
          <w:rFonts w:ascii="Book Antiqua" w:hAnsi="Book Antiqua"/>
          <w:szCs w:val="22"/>
        </w:rPr>
      </w:pPr>
    </w:p>
    <w:p w14:paraId="602F4F90" w14:textId="77777777" w:rsidR="000D5013" w:rsidRPr="009E39B0" w:rsidRDefault="000D5013" w:rsidP="00937CAE">
      <w:pPr>
        <w:shd w:val="clear" w:color="auto" w:fill="FFFFFF"/>
        <w:spacing w:after="120" w:line="340" w:lineRule="exact"/>
        <w:ind w:firstLine="0"/>
        <w:jc w:val="both"/>
        <w:rPr>
          <w:rFonts w:ascii="Book Antiqua" w:hAnsi="Book Antiqua"/>
          <w:szCs w:val="22"/>
        </w:rPr>
      </w:pPr>
      <w:r w:rsidRPr="009E39B0">
        <w:rPr>
          <w:rFonts w:ascii="Book Antiqua" w:hAnsi="Book Antiqua"/>
          <w:szCs w:val="22"/>
        </w:rPr>
        <w:t>Visto l’art. 100, secondo comma, della Costituzione;</w:t>
      </w:r>
    </w:p>
    <w:p w14:paraId="120C3B61" w14:textId="77777777" w:rsidR="000D5013" w:rsidRPr="009E39B0" w:rsidRDefault="000D5013" w:rsidP="00937CAE">
      <w:pPr>
        <w:shd w:val="clear" w:color="auto" w:fill="FFFFFF"/>
        <w:spacing w:after="120" w:line="340" w:lineRule="exact"/>
        <w:ind w:firstLine="0"/>
        <w:jc w:val="both"/>
        <w:rPr>
          <w:rFonts w:ascii="Book Antiqua" w:hAnsi="Book Antiqua"/>
          <w:szCs w:val="22"/>
        </w:rPr>
      </w:pPr>
      <w:r w:rsidRPr="009E39B0">
        <w:rPr>
          <w:rFonts w:ascii="Book Antiqua" w:hAnsi="Book Antiqua"/>
          <w:szCs w:val="22"/>
        </w:rPr>
        <w:t>Vista la legge costituzionale 18 ottobre 2001, n. 3;</w:t>
      </w:r>
    </w:p>
    <w:p w14:paraId="7A4EB993" w14:textId="77777777" w:rsidR="000D5013" w:rsidRPr="009E39B0" w:rsidRDefault="000D5013" w:rsidP="00937CAE">
      <w:pPr>
        <w:shd w:val="clear" w:color="auto" w:fill="FFFFFF"/>
        <w:spacing w:after="120" w:line="340" w:lineRule="exact"/>
        <w:ind w:firstLine="0"/>
        <w:jc w:val="both"/>
        <w:rPr>
          <w:rFonts w:ascii="Book Antiqua" w:hAnsi="Book Antiqua"/>
          <w:szCs w:val="22"/>
        </w:rPr>
      </w:pPr>
      <w:r w:rsidRPr="009E39B0">
        <w:rPr>
          <w:rFonts w:ascii="Book Antiqua" w:hAnsi="Book Antiqua"/>
          <w:szCs w:val="22"/>
        </w:rPr>
        <w:t xml:space="preserve">Visto il testo unico delle leggi sulla Corte dei conti, approvato con regio decreto 12 luglio 1934, n. 1214, e le successive modificazioni ed integrazioni; </w:t>
      </w:r>
    </w:p>
    <w:p w14:paraId="3932253A" w14:textId="77777777" w:rsidR="000D5013" w:rsidRPr="009E39B0" w:rsidRDefault="000D5013" w:rsidP="00937CAE">
      <w:pPr>
        <w:shd w:val="clear" w:color="auto" w:fill="FFFFFF"/>
        <w:spacing w:after="120" w:line="340" w:lineRule="exact"/>
        <w:ind w:firstLine="0"/>
        <w:jc w:val="both"/>
        <w:rPr>
          <w:rFonts w:ascii="Book Antiqua" w:hAnsi="Book Antiqua"/>
          <w:szCs w:val="22"/>
        </w:rPr>
      </w:pPr>
      <w:r w:rsidRPr="009E39B0">
        <w:rPr>
          <w:rFonts w:ascii="Book Antiqua" w:hAnsi="Book Antiqua"/>
          <w:szCs w:val="22"/>
        </w:rPr>
        <w:t>Visto l’art. 3 della legge 14 gennaio 1994, n. 20;</w:t>
      </w:r>
    </w:p>
    <w:p w14:paraId="53CB0067" w14:textId="77777777" w:rsidR="000D5013" w:rsidRPr="009E39B0" w:rsidRDefault="000D5013" w:rsidP="00937CAE">
      <w:pPr>
        <w:shd w:val="clear" w:color="auto" w:fill="FFFFFF"/>
        <w:spacing w:after="120" w:line="340" w:lineRule="exact"/>
        <w:ind w:firstLine="0"/>
        <w:jc w:val="both"/>
        <w:rPr>
          <w:rFonts w:ascii="Book Antiqua" w:hAnsi="Book Antiqua"/>
          <w:szCs w:val="22"/>
        </w:rPr>
      </w:pPr>
      <w:r w:rsidRPr="009E39B0">
        <w:rPr>
          <w:rFonts w:ascii="Book Antiqua" w:hAnsi="Book Antiqua"/>
          <w:szCs w:val="22"/>
        </w:rPr>
        <w:t>Visto l’art. 7, comma 8, della legge 5 giugno 2003, n. 131, recante disposizioni per l’adeguamento dell’ordinamento della Repubblica alla legge costituzionale 18 ottobre 2001, n. 3;</w:t>
      </w:r>
    </w:p>
    <w:p w14:paraId="2DDB638F" w14:textId="1027C445" w:rsidR="000D5013" w:rsidRPr="009E39B0" w:rsidRDefault="000D5013" w:rsidP="00937CAE">
      <w:pPr>
        <w:shd w:val="clear" w:color="auto" w:fill="FFFFFF"/>
        <w:spacing w:after="120" w:line="340" w:lineRule="exact"/>
        <w:ind w:firstLine="0"/>
        <w:jc w:val="both"/>
        <w:rPr>
          <w:rFonts w:ascii="Book Antiqua" w:hAnsi="Book Antiqua"/>
          <w:szCs w:val="22"/>
        </w:rPr>
      </w:pPr>
      <w:r w:rsidRPr="009E39B0">
        <w:rPr>
          <w:rFonts w:ascii="Book Antiqua" w:hAnsi="Book Antiqua"/>
          <w:szCs w:val="22"/>
        </w:rPr>
        <w:lastRenderedPageBreak/>
        <w:t xml:space="preserve">Visto il regolamento per l’organizzazione delle funzioni di controllo della Corte dei conti, approvato dalle Sezioni </w:t>
      </w:r>
      <w:r w:rsidR="00D22A73">
        <w:rPr>
          <w:rFonts w:ascii="Book Antiqua" w:hAnsi="Book Antiqua"/>
          <w:szCs w:val="22"/>
        </w:rPr>
        <w:t>R</w:t>
      </w:r>
      <w:r w:rsidRPr="009E39B0">
        <w:rPr>
          <w:rFonts w:ascii="Book Antiqua" w:hAnsi="Book Antiqua"/>
          <w:szCs w:val="22"/>
        </w:rPr>
        <w:t>iunite con la deliberazione n. 14 del 16 giugno 2000 e le successive modifiche ed integrazioni;</w:t>
      </w:r>
    </w:p>
    <w:p w14:paraId="54872D41" w14:textId="25B9FB4B" w:rsidR="000D5013" w:rsidRPr="009E39B0" w:rsidRDefault="000D5013" w:rsidP="00937CAE">
      <w:pPr>
        <w:shd w:val="clear" w:color="auto" w:fill="FFFFFF"/>
        <w:spacing w:after="120" w:line="340" w:lineRule="exact"/>
        <w:ind w:firstLine="0"/>
        <w:jc w:val="both"/>
        <w:rPr>
          <w:rFonts w:ascii="Book Antiqua" w:hAnsi="Book Antiqua"/>
          <w:szCs w:val="22"/>
        </w:rPr>
      </w:pPr>
      <w:r w:rsidRPr="009E39B0">
        <w:rPr>
          <w:rFonts w:ascii="Book Antiqua" w:hAnsi="Book Antiqua"/>
          <w:szCs w:val="22"/>
        </w:rPr>
        <w:t>Visto l’art. 6, comma 4, del d</w:t>
      </w:r>
      <w:r w:rsidR="00D75DEC">
        <w:rPr>
          <w:rFonts w:ascii="Book Antiqua" w:hAnsi="Book Antiqua"/>
          <w:szCs w:val="22"/>
        </w:rPr>
        <w:t>ecreto-legge</w:t>
      </w:r>
      <w:r w:rsidRPr="009E39B0">
        <w:rPr>
          <w:rFonts w:ascii="Book Antiqua" w:hAnsi="Book Antiqua"/>
          <w:szCs w:val="22"/>
        </w:rPr>
        <w:t xml:space="preserve"> 10 ottobre 2012, n. 174, convertito, con modificazioni, </w:t>
      </w:r>
      <w:r w:rsidR="00D75DEC">
        <w:rPr>
          <w:rFonts w:ascii="Book Antiqua" w:hAnsi="Book Antiqua"/>
          <w:szCs w:val="22"/>
        </w:rPr>
        <w:t>in</w:t>
      </w:r>
      <w:r w:rsidRPr="009E39B0">
        <w:rPr>
          <w:rFonts w:ascii="Book Antiqua" w:hAnsi="Book Antiqua"/>
          <w:szCs w:val="22"/>
        </w:rPr>
        <w:t xml:space="preserve"> legge 7 dicembre 2012, n. 213 e le successive modifiche ed integrazioni;</w:t>
      </w:r>
    </w:p>
    <w:p w14:paraId="0F31F94C" w14:textId="33BE6325" w:rsidR="00171E70" w:rsidRPr="009E39B0" w:rsidRDefault="00ED5E0A" w:rsidP="00171E70">
      <w:pPr>
        <w:shd w:val="clear" w:color="auto" w:fill="FFFFFF"/>
        <w:spacing w:after="120" w:line="340" w:lineRule="exact"/>
        <w:ind w:firstLine="0"/>
        <w:jc w:val="both"/>
        <w:rPr>
          <w:rFonts w:ascii="Book Antiqua" w:hAnsi="Book Antiqua"/>
          <w:szCs w:val="22"/>
        </w:rPr>
      </w:pPr>
      <w:bookmarkStart w:id="5" w:name="_Hlk526940454"/>
      <w:r w:rsidRPr="00ED5E0A">
        <w:rPr>
          <w:rFonts w:ascii="Book Antiqua" w:hAnsi="Book Antiqua"/>
          <w:szCs w:val="22"/>
        </w:rPr>
        <w:t xml:space="preserve">Vista la deliberazione n. </w:t>
      </w:r>
      <w:r w:rsidR="00C13E9E">
        <w:rPr>
          <w:rFonts w:ascii="Book Antiqua" w:hAnsi="Book Antiqua"/>
          <w:szCs w:val="22"/>
        </w:rPr>
        <w:t>334</w:t>
      </w:r>
      <w:r w:rsidRPr="00ED5E0A">
        <w:rPr>
          <w:rFonts w:ascii="Book Antiqua" w:hAnsi="Book Antiqua"/>
          <w:szCs w:val="22"/>
        </w:rPr>
        <w:t>/201</w:t>
      </w:r>
      <w:r>
        <w:rPr>
          <w:rFonts w:ascii="Book Antiqua" w:hAnsi="Book Antiqua"/>
          <w:szCs w:val="22"/>
        </w:rPr>
        <w:t>8</w:t>
      </w:r>
      <w:r w:rsidRPr="00ED5E0A">
        <w:rPr>
          <w:rFonts w:ascii="Book Antiqua" w:hAnsi="Book Antiqua"/>
          <w:szCs w:val="22"/>
        </w:rPr>
        <w:t>/</w:t>
      </w:r>
      <w:r w:rsidR="00C13E9E">
        <w:rPr>
          <w:rFonts w:ascii="Book Antiqua" w:hAnsi="Book Antiqua"/>
          <w:szCs w:val="22"/>
        </w:rPr>
        <w:t>QMIG</w:t>
      </w:r>
      <w:r w:rsidRPr="00ED5E0A">
        <w:rPr>
          <w:rFonts w:ascii="Book Antiqua" w:hAnsi="Book Antiqua"/>
          <w:szCs w:val="22"/>
        </w:rPr>
        <w:t xml:space="preserve">, depositata in data </w:t>
      </w:r>
      <w:r w:rsidR="00BB0F5C">
        <w:rPr>
          <w:rFonts w:ascii="Book Antiqua" w:hAnsi="Book Antiqua"/>
          <w:szCs w:val="22"/>
        </w:rPr>
        <w:t>12 dicembre</w:t>
      </w:r>
      <w:r w:rsidRPr="00ED5E0A">
        <w:rPr>
          <w:rFonts w:ascii="Book Antiqua" w:hAnsi="Book Antiqua"/>
          <w:szCs w:val="22"/>
        </w:rPr>
        <w:t xml:space="preserve"> 201</w:t>
      </w:r>
      <w:r>
        <w:rPr>
          <w:rFonts w:ascii="Book Antiqua" w:hAnsi="Book Antiqua"/>
          <w:szCs w:val="22"/>
        </w:rPr>
        <w:t>8</w:t>
      </w:r>
      <w:r w:rsidRPr="00ED5E0A">
        <w:rPr>
          <w:rFonts w:ascii="Book Antiqua" w:hAnsi="Book Antiqua"/>
          <w:szCs w:val="22"/>
        </w:rPr>
        <w:t xml:space="preserve">, con la quale la Sezione regionale di controllo per </w:t>
      </w:r>
      <w:r w:rsidR="00C13E9E">
        <w:rPr>
          <w:rFonts w:ascii="Book Antiqua" w:hAnsi="Book Antiqua"/>
          <w:szCs w:val="22"/>
        </w:rPr>
        <w:t>la Lombardia</w:t>
      </w:r>
      <w:r w:rsidRPr="00ED5E0A">
        <w:rPr>
          <w:rFonts w:ascii="Book Antiqua" w:hAnsi="Book Antiqua"/>
          <w:szCs w:val="22"/>
        </w:rPr>
        <w:t xml:space="preserve">, in riferimento alla richiesta di parere presentata dal </w:t>
      </w:r>
      <w:bookmarkStart w:id="6" w:name="_Hlk4316953"/>
      <w:r w:rsidR="00C13E9E">
        <w:rPr>
          <w:rFonts w:ascii="Book Antiqua" w:hAnsi="Book Antiqua"/>
          <w:szCs w:val="22"/>
        </w:rPr>
        <w:t>Sindaco del Comune di Milano</w:t>
      </w:r>
      <w:bookmarkEnd w:id="6"/>
      <w:r w:rsidRPr="00ED5E0A">
        <w:rPr>
          <w:rFonts w:ascii="Book Antiqua" w:hAnsi="Book Antiqua"/>
          <w:szCs w:val="22"/>
        </w:rPr>
        <w:t xml:space="preserve">, ha rimesso al Presidente della Corte dei conti, </w:t>
      </w:r>
      <w:bookmarkStart w:id="7" w:name="_Hlk4841496"/>
      <w:r w:rsidRPr="00ED5E0A">
        <w:rPr>
          <w:rFonts w:ascii="Book Antiqua" w:hAnsi="Book Antiqua"/>
          <w:szCs w:val="22"/>
        </w:rPr>
        <w:t xml:space="preserve">ai sensi </w:t>
      </w:r>
      <w:r w:rsidR="009C755D">
        <w:rPr>
          <w:rFonts w:ascii="Book Antiqua" w:hAnsi="Book Antiqua"/>
          <w:szCs w:val="22"/>
        </w:rPr>
        <w:t xml:space="preserve">dell’art. 17, comma 31, del decreto-legge </w:t>
      </w:r>
      <w:r w:rsidR="009C755D" w:rsidRPr="009C755D">
        <w:rPr>
          <w:rFonts w:ascii="Book Antiqua" w:hAnsi="Book Antiqua"/>
          <w:szCs w:val="22"/>
        </w:rPr>
        <w:t>1</w:t>
      </w:r>
      <w:r w:rsidR="009C755D">
        <w:rPr>
          <w:rFonts w:ascii="Book Antiqua" w:hAnsi="Book Antiqua"/>
          <w:szCs w:val="22"/>
        </w:rPr>
        <w:t>°</w:t>
      </w:r>
      <w:r w:rsidR="009C755D" w:rsidRPr="009C755D">
        <w:rPr>
          <w:rFonts w:ascii="Book Antiqua" w:hAnsi="Book Antiqua"/>
          <w:szCs w:val="22"/>
        </w:rPr>
        <w:t xml:space="preserve"> luglio 2009, n. 78</w:t>
      </w:r>
      <w:r w:rsidR="009C755D">
        <w:rPr>
          <w:rFonts w:ascii="Book Antiqua" w:hAnsi="Book Antiqua"/>
          <w:szCs w:val="22"/>
        </w:rPr>
        <w:t xml:space="preserve">, </w:t>
      </w:r>
      <w:r w:rsidR="009C755D" w:rsidRPr="009C755D">
        <w:rPr>
          <w:rFonts w:ascii="Book Antiqua" w:hAnsi="Book Antiqua"/>
          <w:szCs w:val="22"/>
        </w:rPr>
        <w:t>convertito con modificazioni</w:t>
      </w:r>
      <w:r w:rsidR="009C755D">
        <w:rPr>
          <w:rFonts w:ascii="Book Antiqua" w:hAnsi="Book Antiqua"/>
          <w:szCs w:val="22"/>
        </w:rPr>
        <w:t xml:space="preserve"> in legge</w:t>
      </w:r>
      <w:r w:rsidR="009C755D" w:rsidRPr="009C755D">
        <w:rPr>
          <w:rFonts w:ascii="Book Antiqua" w:hAnsi="Book Antiqua"/>
          <w:szCs w:val="22"/>
        </w:rPr>
        <w:t xml:space="preserve"> 3 agosto 2009, n. 102</w:t>
      </w:r>
      <w:r w:rsidR="009C755D">
        <w:rPr>
          <w:rFonts w:ascii="Book Antiqua" w:hAnsi="Book Antiqua"/>
          <w:szCs w:val="22"/>
        </w:rPr>
        <w:t xml:space="preserve">, e </w:t>
      </w:r>
      <w:r w:rsidRPr="00ED5E0A">
        <w:rPr>
          <w:rFonts w:ascii="Book Antiqua" w:hAnsi="Book Antiqua"/>
          <w:szCs w:val="22"/>
        </w:rPr>
        <w:t xml:space="preserve">dell’art. 6, comma 4, del </w:t>
      </w:r>
      <w:r w:rsidRPr="000E5B90">
        <w:rPr>
          <w:rFonts w:ascii="Book Antiqua" w:hAnsi="Book Antiqua"/>
          <w:szCs w:val="22"/>
        </w:rPr>
        <w:t>decreto-legge 10 ottobre 2012</w:t>
      </w:r>
      <w:r w:rsidR="00D75DEC">
        <w:rPr>
          <w:rFonts w:ascii="Book Antiqua" w:hAnsi="Book Antiqua"/>
          <w:szCs w:val="22"/>
        </w:rPr>
        <w:t>,</w:t>
      </w:r>
      <w:r w:rsidRPr="000E5B90">
        <w:rPr>
          <w:rFonts w:ascii="Book Antiqua" w:hAnsi="Book Antiqua"/>
          <w:szCs w:val="22"/>
        </w:rPr>
        <w:t xml:space="preserve"> n. 174, convertito con modificazioni in legge 7 dicembre 2012</w:t>
      </w:r>
      <w:r w:rsidR="00D75DEC">
        <w:rPr>
          <w:rFonts w:ascii="Book Antiqua" w:hAnsi="Book Antiqua"/>
          <w:szCs w:val="22"/>
        </w:rPr>
        <w:t>,</w:t>
      </w:r>
      <w:r w:rsidRPr="000E5B90">
        <w:rPr>
          <w:rFonts w:ascii="Book Antiqua" w:hAnsi="Book Antiqua"/>
          <w:szCs w:val="22"/>
        </w:rPr>
        <w:t xml:space="preserve"> n. 213, </w:t>
      </w:r>
      <w:bookmarkEnd w:id="7"/>
      <w:r w:rsidRPr="00ED5E0A">
        <w:rPr>
          <w:rFonts w:ascii="Book Antiqua" w:hAnsi="Book Antiqua"/>
          <w:szCs w:val="22"/>
        </w:rPr>
        <w:t xml:space="preserve">una questione di massima </w:t>
      </w:r>
      <w:r w:rsidR="00C13E9E" w:rsidRPr="00C13E9E">
        <w:rPr>
          <w:rFonts w:ascii="Book Antiqua" w:hAnsi="Book Antiqua"/>
          <w:szCs w:val="22"/>
        </w:rPr>
        <w:t>riguard</w:t>
      </w:r>
      <w:r w:rsidR="00C13E9E">
        <w:rPr>
          <w:rFonts w:ascii="Book Antiqua" w:hAnsi="Book Antiqua"/>
          <w:szCs w:val="22"/>
        </w:rPr>
        <w:t>ante</w:t>
      </w:r>
      <w:r w:rsidR="00C13E9E" w:rsidRPr="00C13E9E">
        <w:rPr>
          <w:rFonts w:ascii="Book Antiqua" w:hAnsi="Book Antiqua"/>
          <w:szCs w:val="22"/>
        </w:rPr>
        <w:t xml:space="preserve"> </w:t>
      </w:r>
      <w:r w:rsidR="00C13E9E">
        <w:rPr>
          <w:rFonts w:ascii="Book Antiqua" w:hAnsi="Book Antiqua"/>
          <w:szCs w:val="22"/>
        </w:rPr>
        <w:t>i</w:t>
      </w:r>
      <w:r w:rsidR="00C13E9E" w:rsidRPr="00C13E9E">
        <w:rPr>
          <w:rFonts w:ascii="Book Antiqua" w:hAnsi="Book Antiqua"/>
          <w:szCs w:val="22"/>
        </w:rPr>
        <w:t>l corretto utilizzo dei proventi derivanti dalle sanzioni previste dal Codice della strada (art. 208</w:t>
      </w:r>
      <w:r w:rsidR="00BB0F5C">
        <w:rPr>
          <w:rFonts w:ascii="Book Antiqua" w:hAnsi="Book Antiqua"/>
          <w:szCs w:val="22"/>
        </w:rPr>
        <w:t xml:space="preserve"> del</w:t>
      </w:r>
      <w:r w:rsidR="00C13E9E" w:rsidRPr="00C13E9E">
        <w:rPr>
          <w:rFonts w:ascii="Book Antiqua" w:hAnsi="Book Antiqua"/>
          <w:szCs w:val="22"/>
        </w:rPr>
        <w:t xml:space="preserve"> d.lgs. </w:t>
      </w:r>
      <w:r w:rsidR="00BB0F5C" w:rsidRPr="00BB0F5C">
        <w:rPr>
          <w:rFonts w:ascii="Book Antiqua" w:hAnsi="Book Antiqua"/>
          <w:szCs w:val="22"/>
        </w:rPr>
        <w:t>30 aprile 1992, n. 285</w:t>
      </w:r>
      <w:r w:rsidR="00C13E9E" w:rsidRPr="00C13E9E">
        <w:rPr>
          <w:rFonts w:ascii="Book Antiqua" w:hAnsi="Book Antiqua"/>
          <w:szCs w:val="22"/>
        </w:rPr>
        <w:t xml:space="preserve">) e </w:t>
      </w:r>
      <w:r w:rsidR="00C13E9E">
        <w:rPr>
          <w:rFonts w:ascii="Book Antiqua" w:hAnsi="Book Antiqua"/>
          <w:szCs w:val="22"/>
        </w:rPr>
        <w:t xml:space="preserve">la </w:t>
      </w:r>
      <w:r w:rsidR="00C13E9E" w:rsidRPr="00C13E9E">
        <w:rPr>
          <w:rFonts w:ascii="Book Antiqua" w:hAnsi="Book Antiqua"/>
          <w:szCs w:val="22"/>
        </w:rPr>
        <w:t xml:space="preserve">relativa assoggettabilità ai vincoli di finanza pubblica posti dall’art. 23, comma 2, </w:t>
      </w:r>
      <w:r w:rsidR="00BB0F5C">
        <w:rPr>
          <w:rFonts w:ascii="Book Antiqua" w:hAnsi="Book Antiqua"/>
          <w:szCs w:val="22"/>
        </w:rPr>
        <w:t xml:space="preserve">del </w:t>
      </w:r>
      <w:r w:rsidR="00C13E9E" w:rsidRPr="00C13E9E">
        <w:rPr>
          <w:rFonts w:ascii="Book Antiqua" w:hAnsi="Book Antiqua"/>
          <w:szCs w:val="22"/>
        </w:rPr>
        <w:t xml:space="preserve">d.lgs. </w:t>
      </w:r>
      <w:r w:rsidR="00BB0F5C">
        <w:rPr>
          <w:rFonts w:ascii="Book Antiqua" w:hAnsi="Book Antiqua"/>
          <w:szCs w:val="22"/>
        </w:rPr>
        <w:t xml:space="preserve">25 maggio 2017, </w:t>
      </w:r>
      <w:r w:rsidR="00C13E9E" w:rsidRPr="00C13E9E">
        <w:rPr>
          <w:rFonts w:ascii="Book Antiqua" w:hAnsi="Book Antiqua"/>
          <w:szCs w:val="22"/>
        </w:rPr>
        <w:t>n. 75</w:t>
      </w:r>
      <w:r w:rsidR="000E5B90">
        <w:rPr>
          <w:rFonts w:ascii="Book Antiqua" w:hAnsi="Book Antiqua"/>
          <w:szCs w:val="22"/>
        </w:rPr>
        <w:t>;</w:t>
      </w:r>
    </w:p>
    <w:p w14:paraId="0BB93110" w14:textId="5B7BE50F" w:rsidR="000D5013" w:rsidRPr="009E39B0" w:rsidRDefault="00171E70" w:rsidP="00171E70">
      <w:pPr>
        <w:shd w:val="clear" w:color="auto" w:fill="FFFFFF"/>
        <w:spacing w:after="120" w:line="340" w:lineRule="exact"/>
        <w:ind w:firstLine="0"/>
        <w:jc w:val="both"/>
        <w:rPr>
          <w:rFonts w:ascii="Book Antiqua" w:hAnsi="Book Antiqua"/>
          <w:szCs w:val="22"/>
        </w:rPr>
      </w:pPr>
      <w:r w:rsidRPr="009E39B0">
        <w:rPr>
          <w:rFonts w:ascii="Book Antiqua" w:hAnsi="Book Antiqua"/>
          <w:szCs w:val="22"/>
        </w:rPr>
        <w:t xml:space="preserve">Vista l’ordinanza del Presidente della Corte dei conti n. </w:t>
      </w:r>
      <w:r w:rsidR="00C13E9E">
        <w:rPr>
          <w:rFonts w:ascii="Book Antiqua" w:hAnsi="Book Antiqua"/>
          <w:szCs w:val="22"/>
        </w:rPr>
        <w:t>1</w:t>
      </w:r>
      <w:r w:rsidRPr="009E39B0">
        <w:rPr>
          <w:rFonts w:ascii="Book Antiqua" w:hAnsi="Book Antiqua"/>
          <w:szCs w:val="22"/>
        </w:rPr>
        <w:t xml:space="preserve"> del </w:t>
      </w:r>
      <w:r w:rsidR="00C13E9E">
        <w:rPr>
          <w:rFonts w:ascii="Book Antiqua" w:hAnsi="Book Antiqua"/>
          <w:szCs w:val="22"/>
        </w:rPr>
        <w:t>10 gennaio</w:t>
      </w:r>
      <w:r>
        <w:rPr>
          <w:rFonts w:ascii="Book Antiqua" w:hAnsi="Book Antiqua"/>
          <w:szCs w:val="22"/>
        </w:rPr>
        <w:t xml:space="preserve"> </w:t>
      </w:r>
      <w:r w:rsidRPr="009E39B0">
        <w:rPr>
          <w:rFonts w:ascii="Book Antiqua" w:hAnsi="Book Antiqua"/>
          <w:szCs w:val="22"/>
        </w:rPr>
        <w:t>201</w:t>
      </w:r>
      <w:r w:rsidR="00C13E9E">
        <w:rPr>
          <w:rFonts w:ascii="Book Antiqua" w:hAnsi="Book Antiqua"/>
          <w:szCs w:val="22"/>
        </w:rPr>
        <w:t>9</w:t>
      </w:r>
      <w:r w:rsidR="00DB0AF9">
        <w:rPr>
          <w:rFonts w:ascii="Book Antiqua" w:hAnsi="Book Antiqua"/>
          <w:szCs w:val="22"/>
        </w:rPr>
        <w:t>,</w:t>
      </w:r>
      <w:r w:rsidRPr="009E39B0">
        <w:rPr>
          <w:rFonts w:ascii="Book Antiqua" w:hAnsi="Book Antiqua"/>
          <w:szCs w:val="22"/>
        </w:rPr>
        <w:t xml:space="preserve"> con la quale, valutati i presupposti per il deferimento dell’esame e della risoluzione della predetta questione di massima ai sensi del richiamato art. 6, comma 4, del </w:t>
      </w:r>
      <w:proofErr w:type="spellStart"/>
      <w:r w:rsidRPr="009E39B0">
        <w:rPr>
          <w:rFonts w:ascii="Book Antiqua" w:hAnsi="Book Antiqua"/>
          <w:szCs w:val="22"/>
        </w:rPr>
        <w:t>d.l.</w:t>
      </w:r>
      <w:proofErr w:type="spellEnd"/>
      <w:r w:rsidRPr="009E39B0">
        <w:rPr>
          <w:rFonts w:ascii="Book Antiqua" w:hAnsi="Book Antiqua"/>
          <w:szCs w:val="22"/>
        </w:rPr>
        <w:t xml:space="preserve"> n. 174/2012, è stata rimessa alla Sezione delle autonomie la pronuncia in ordine alla questione prospettata </w:t>
      </w:r>
      <w:bookmarkStart w:id="8" w:name="_Hlk4841979"/>
      <w:r w:rsidRPr="009E39B0">
        <w:rPr>
          <w:rFonts w:ascii="Book Antiqua" w:hAnsi="Book Antiqua"/>
          <w:szCs w:val="22"/>
        </w:rPr>
        <w:t xml:space="preserve">dalla </w:t>
      </w:r>
      <w:r w:rsidR="000E5B90" w:rsidRPr="000E5B90">
        <w:rPr>
          <w:rFonts w:ascii="Book Antiqua" w:hAnsi="Book Antiqua"/>
          <w:szCs w:val="22"/>
        </w:rPr>
        <w:t>Sezione regionale di controllo per</w:t>
      </w:r>
      <w:r w:rsidR="00C13E9E" w:rsidRPr="00C13E9E">
        <w:rPr>
          <w:rFonts w:ascii="Book Antiqua" w:hAnsi="Book Antiqua"/>
          <w:szCs w:val="22"/>
        </w:rPr>
        <w:t xml:space="preserve"> </w:t>
      </w:r>
      <w:r w:rsidR="00C13E9E">
        <w:rPr>
          <w:rFonts w:ascii="Book Antiqua" w:hAnsi="Book Antiqua"/>
          <w:szCs w:val="22"/>
        </w:rPr>
        <w:t>la Lombardia</w:t>
      </w:r>
      <w:bookmarkEnd w:id="8"/>
      <w:r w:rsidRPr="009E39B0">
        <w:rPr>
          <w:rFonts w:ascii="Book Antiqua" w:hAnsi="Book Antiqua"/>
          <w:szCs w:val="22"/>
        </w:rPr>
        <w:t>;</w:t>
      </w:r>
    </w:p>
    <w:p w14:paraId="5A9BF619" w14:textId="3BCBE0D6" w:rsidR="000D5013" w:rsidRPr="009E39B0" w:rsidRDefault="00171E70" w:rsidP="00937CAE">
      <w:pPr>
        <w:shd w:val="clear" w:color="auto" w:fill="FFFFFF"/>
        <w:spacing w:after="120" w:line="340" w:lineRule="exact"/>
        <w:ind w:firstLine="0"/>
        <w:jc w:val="both"/>
        <w:rPr>
          <w:rFonts w:ascii="Book Antiqua" w:hAnsi="Book Antiqua"/>
          <w:szCs w:val="22"/>
        </w:rPr>
      </w:pPr>
      <w:r w:rsidRPr="000D5013">
        <w:rPr>
          <w:rFonts w:ascii="Book Antiqua" w:hAnsi="Book Antiqua"/>
        </w:rPr>
        <w:t>Vista la nota del Presidente della Corte dei conti</w:t>
      </w:r>
      <w:r w:rsidR="00F67492">
        <w:rPr>
          <w:rFonts w:ascii="Book Antiqua" w:hAnsi="Book Antiqua"/>
        </w:rPr>
        <w:t>,</w:t>
      </w:r>
      <w:r w:rsidRPr="000D5013">
        <w:rPr>
          <w:rFonts w:ascii="Book Antiqua" w:hAnsi="Book Antiqua"/>
        </w:rPr>
        <w:t xml:space="preserve"> n. </w:t>
      </w:r>
      <w:r>
        <w:rPr>
          <w:rFonts w:ascii="Book Antiqua" w:hAnsi="Book Antiqua"/>
        </w:rPr>
        <w:t>155</w:t>
      </w:r>
      <w:r w:rsidRPr="000D5013">
        <w:rPr>
          <w:rFonts w:ascii="Book Antiqua" w:hAnsi="Book Antiqua"/>
        </w:rPr>
        <w:t xml:space="preserve"> del</w:t>
      </w:r>
      <w:r w:rsidR="00C13E9E">
        <w:rPr>
          <w:rFonts w:ascii="Book Antiqua" w:hAnsi="Book Antiqua"/>
        </w:rPr>
        <w:t xml:space="preserve"> </w:t>
      </w:r>
      <w:r>
        <w:rPr>
          <w:rFonts w:ascii="Book Antiqua" w:hAnsi="Book Antiqua"/>
        </w:rPr>
        <w:t>1</w:t>
      </w:r>
      <w:r w:rsidR="00C13E9E">
        <w:rPr>
          <w:rFonts w:ascii="Book Antiqua" w:hAnsi="Book Antiqua"/>
        </w:rPr>
        <w:t>3</w:t>
      </w:r>
      <w:r>
        <w:rPr>
          <w:rFonts w:ascii="Book Antiqua" w:hAnsi="Book Antiqua"/>
        </w:rPr>
        <w:t xml:space="preserve"> </w:t>
      </w:r>
      <w:r w:rsidR="00C13E9E">
        <w:rPr>
          <w:rFonts w:ascii="Book Antiqua" w:hAnsi="Book Antiqua"/>
        </w:rPr>
        <w:t>ma</w:t>
      </w:r>
      <w:r>
        <w:rPr>
          <w:rFonts w:ascii="Book Antiqua" w:hAnsi="Book Antiqua"/>
        </w:rPr>
        <w:t>r</w:t>
      </w:r>
      <w:r w:rsidR="00C13E9E">
        <w:rPr>
          <w:rFonts w:ascii="Book Antiqua" w:hAnsi="Book Antiqua"/>
        </w:rPr>
        <w:t>zo</w:t>
      </w:r>
      <w:r w:rsidRPr="000D5013">
        <w:rPr>
          <w:rFonts w:ascii="Book Antiqua" w:hAnsi="Book Antiqua"/>
        </w:rPr>
        <w:t xml:space="preserve"> 201</w:t>
      </w:r>
      <w:r w:rsidR="00C13E9E">
        <w:rPr>
          <w:rFonts w:ascii="Book Antiqua" w:hAnsi="Book Antiqua"/>
        </w:rPr>
        <w:t>9</w:t>
      </w:r>
      <w:r w:rsidR="00F67492">
        <w:rPr>
          <w:rFonts w:ascii="Book Antiqua" w:hAnsi="Book Antiqua"/>
        </w:rPr>
        <w:t>,</w:t>
      </w:r>
      <w:r w:rsidRPr="000D5013">
        <w:rPr>
          <w:rFonts w:ascii="Book Antiqua" w:hAnsi="Book Antiqua"/>
        </w:rPr>
        <w:t xml:space="preserve"> di convocazione della Sezione delle autonomie per l’odierna adunanza;</w:t>
      </w:r>
    </w:p>
    <w:p w14:paraId="0A52F0AD" w14:textId="73A8EB2E" w:rsidR="008A70DA" w:rsidRPr="009E39B0" w:rsidRDefault="000D5013" w:rsidP="00937CAE">
      <w:pPr>
        <w:shd w:val="clear" w:color="auto" w:fill="FFFFFF"/>
        <w:spacing w:after="120" w:line="340" w:lineRule="exact"/>
        <w:ind w:firstLine="0"/>
        <w:jc w:val="both"/>
        <w:rPr>
          <w:rFonts w:ascii="Book Antiqua" w:hAnsi="Book Antiqua"/>
          <w:spacing w:val="-4"/>
          <w:szCs w:val="22"/>
        </w:rPr>
      </w:pPr>
      <w:r w:rsidRPr="009E39B0">
        <w:rPr>
          <w:rFonts w:ascii="Book Antiqua" w:hAnsi="Book Antiqua"/>
          <w:szCs w:val="22"/>
        </w:rPr>
        <w:t>Udit</w:t>
      </w:r>
      <w:r w:rsidR="00171E70">
        <w:rPr>
          <w:rFonts w:ascii="Book Antiqua" w:hAnsi="Book Antiqua"/>
          <w:szCs w:val="22"/>
        </w:rPr>
        <w:t>o</w:t>
      </w:r>
      <w:r w:rsidRPr="009E39B0">
        <w:rPr>
          <w:rFonts w:ascii="Book Antiqua" w:hAnsi="Book Antiqua"/>
          <w:szCs w:val="22"/>
        </w:rPr>
        <w:t xml:space="preserve"> i</w:t>
      </w:r>
      <w:r w:rsidR="00171E70">
        <w:rPr>
          <w:rFonts w:ascii="Book Antiqua" w:hAnsi="Book Antiqua"/>
          <w:szCs w:val="22"/>
        </w:rPr>
        <w:t>l</w:t>
      </w:r>
      <w:r w:rsidRPr="009E39B0">
        <w:rPr>
          <w:rFonts w:ascii="Book Antiqua" w:hAnsi="Book Antiqua"/>
          <w:szCs w:val="22"/>
        </w:rPr>
        <w:t xml:space="preserve"> relator</w:t>
      </w:r>
      <w:r w:rsidR="00171E70">
        <w:rPr>
          <w:rFonts w:ascii="Book Antiqua" w:hAnsi="Book Antiqua"/>
          <w:szCs w:val="22"/>
        </w:rPr>
        <w:t>e</w:t>
      </w:r>
      <w:r w:rsidRPr="009E39B0">
        <w:rPr>
          <w:rFonts w:ascii="Book Antiqua" w:hAnsi="Book Antiqua"/>
          <w:szCs w:val="22"/>
        </w:rPr>
        <w:t>, Consiglier</w:t>
      </w:r>
      <w:r w:rsidR="00171E70">
        <w:rPr>
          <w:rFonts w:ascii="Book Antiqua" w:hAnsi="Book Antiqua"/>
          <w:szCs w:val="22"/>
        </w:rPr>
        <w:t>e</w:t>
      </w:r>
      <w:r w:rsidRPr="009E39B0">
        <w:rPr>
          <w:rFonts w:ascii="Book Antiqua" w:hAnsi="Book Antiqua"/>
          <w:szCs w:val="22"/>
        </w:rPr>
        <w:t xml:space="preserve"> </w:t>
      </w:r>
      <w:r w:rsidR="000E5B90">
        <w:rPr>
          <w:rFonts w:ascii="Book Antiqua" w:hAnsi="Book Antiqua"/>
          <w:szCs w:val="22"/>
        </w:rPr>
        <w:t>Francesco Uccello</w:t>
      </w:r>
      <w:r w:rsidRPr="009E39B0">
        <w:rPr>
          <w:rFonts w:ascii="Book Antiqua" w:hAnsi="Book Antiqua"/>
          <w:szCs w:val="22"/>
        </w:rPr>
        <w:t>;</w:t>
      </w:r>
      <w:bookmarkEnd w:id="5"/>
    </w:p>
    <w:p w14:paraId="4AF97EC0" w14:textId="72E628FF" w:rsidR="00DC3C1B" w:rsidRPr="009E39B0" w:rsidRDefault="000D5013" w:rsidP="008F15A7">
      <w:pPr>
        <w:shd w:val="clear" w:color="auto" w:fill="FFFFFF"/>
        <w:spacing w:before="240" w:after="240" w:line="340" w:lineRule="exact"/>
        <w:ind w:firstLine="0"/>
        <w:jc w:val="center"/>
        <w:rPr>
          <w:rFonts w:ascii="Book Antiqua" w:hAnsi="Book Antiqua"/>
          <w:b/>
          <w:spacing w:val="20"/>
          <w:szCs w:val="22"/>
        </w:rPr>
      </w:pPr>
      <w:r w:rsidRPr="009E39B0">
        <w:rPr>
          <w:rFonts w:ascii="Book Antiqua" w:hAnsi="Book Antiqua"/>
          <w:b/>
          <w:spacing w:val="20"/>
          <w:szCs w:val="22"/>
        </w:rPr>
        <w:t>PREMESSO</w:t>
      </w:r>
    </w:p>
    <w:p w14:paraId="029C12F3" w14:textId="0B8193A7" w:rsidR="008F206D" w:rsidRDefault="00410ED1" w:rsidP="006378F0">
      <w:pPr>
        <w:spacing w:after="120" w:line="340" w:lineRule="exact"/>
        <w:ind w:firstLine="0"/>
        <w:jc w:val="both"/>
        <w:rPr>
          <w:rFonts w:ascii="Book Antiqua" w:hAnsi="Book Antiqua"/>
          <w:szCs w:val="22"/>
        </w:rPr>
      </w:pPr>
      <w:r w:rsidRPr="00410ED1">
        <w:rPr>
          <w:rFonts w:ascii="Book Antiqua" w:hAnsi="Book Antiqua"/>
          <w:szCs w:val="22"/>
        </w:rPr>
        <w:t>Con nota del</w:t>
      </w:r>
      <w:r>
        <w:rPr>
          <w:rFonts w:ascii="Book Antiqua" w:hAnsi="Book Antiqua"/>
          <w:szCs w:val="22"/>
        </w:rPr>
        <w:t xml:space="preserve"> 5 ottobre</w:t>
      </w:r>
      <w:r w:rsidRPr="00410ED1">
        <w:rPr>
          <w:rFonts w:ascii="Book Antiqua" w:hAnsi="Book Antiqua"/>
          <w:szCs w:val="22"/>
        </w:rPr>
        <w:t xml:space="preserve"> 2018, </w:t>
      </w:r>
      <w:r>
        <w:rPr>
          <w:rFonts w:ascii="Book Antiqua" w:hAnsi="Book Antiqua"/>
          <w:szCs w:val="22"/>
        </w:rPr>
        <w:t xml:space="preserve">il </w:t>
      </w:r>
      <w:r w:rsidRPr="00410ED1">
        <w:rPr>
          <w:rFonts w:ascii="Book Antiqua" w:hAnsi="Book Antiqua"/>
          <w:szCs w:val="22"/>
        </w:rPr>
        <w:t>Sindaco del Comune di Milano ha rivolto alla Sezione regionale di controllo per l</w:t>
      </w:r>
      <w:r>
        <w:rPr>
          <w:rFonts w:ascii="Book Antiqua" w:hAnsi="Book Antiqua"/>
          <w:szCs w:val="22"/>
        </w:rPr>
        <w:t>a Lombard</w:t>
      </w:r>
      <w:r w:rsidRPr="00410ED1">
        <w:rPr>
          <w:rFonts w:ascii="Book Antiqua" w:hAnsi="Book Antiqua"/>
          <w:szCs w:val="22"/>
        </w:rPr>
        <w:t>ia</w:t>
      </w:r>
      <w:r>
        <w:rPr>
          <w:rFonts w:ascii="Book Antiqua" w:hAnsi="Book Antiqua"/>
          <w:szCs w:val="22"/>
        </w:rPr>
        <w:t xml:space="preserve"> </w:t>
      </w:r>
      <w:r w:rsidRPr="00410ED1">
        <w:rPr>
          <w:rFonts w:ascii="Book Antiqua" w:hAnsi="Book Antiqua"/>
          <w:szCs w:val="22"/>
        </w:rPr>
        <w:t>una richiesta di parere</w:t>
      </w:r>
      <w:r w:rsidR="003F6976">
        <w:rPr>
          <w:rFonts w:ascii="Book Antiqua" w:hAnsi="Book Antiqua"/>
          <w:szCs w:val="22"/>
        </w:rPr>
        <w:t>,</w:t>
      </w:r>
      <w:r w:rsidRPr="00410ED1">
        <w:rPr>
          <w:rFonts w:ascii="Book Antiqua" w:hAnsi="Book Antiqua"/>
          <w:szCs w:val="22"/>
        </w:rPr>
        <w:t xml:space="preserve"> ai sensi dell’art. 7, comma 8, della legge 5 giugno 2003, n.131, in merito alla possibilità di </w:t>
      </w:r>
      <w:r w:rsidR="00075D29">
        <w:rPr>
          <w:rFonts w:ascii="Book Antiqua" w:hAnsi="Book Antiqua"/>
          <w:szCs w:val="22"/>
        </w:rPr>
        <w:t xml:space="preserve">destinare </w:t>
      </w:r>
      <w:r w:rsidR="0063343F">
        <w:rPr>
          <w:rFonts w:ascii="Book Antiqua" w:hAnsi="Book Antiqua"/>
          <w:szCs w:val="22"/>
        </w:rPr>
        <w:t xml:space="preserve">al fondo per il lavoro straordinario del personale addetto ai servizi di polizia locale </w:t>
      </w:r>
      <w:r w:rsidR="00DB6CEE">
        <w:rPr>
          <w:rFonts w:ascii="Book Antiqua" w:hAnsi="Book Antiqua"/>
          <w:szCs w:val="22"/>
        </w:rPr>
        <w:t>parte de</w:t>
      </w:r>
      <w:r w:rsidR="00075D29">
        <w:rPr>
          <w:rFonts w:ascii="Book Antiqua" w:hAnsi="Book Antiqua"/>
          <w:szCs w:val="22"/>
        </w:rPr>
        <w:t>i proventi</w:t>
      </w:r>
      <w:r w:rsidR="0063343F">
        <w:rPr>
          <w:rFonts w:ascii="Book Antiqua" w:hAnsi="Book Antiqua"/>
          <w:szCs w:val="22"/>
        </w:rPr>
        <w:t xml:space="preserve"> derivanti da</w:t>
      </w:r>
      <w:r w:rsidR="0063343F" w:rsidRPr="0063343F">
        <w:rPr>
          <w:rFonts w:ascii="Book Antiqua" w:hAnsi="Book Antiqua"/>
          <w:szCs w:val="22"/>
        </w:rPr>
        <w:t xml:space="preserve">lle sanzioni amministrative pecuniarie previste per </w:t>
      </w:r>
      <w:r w:rsidR="0063343F">
        <w:rPr>
          <w:rFonts w:ascii="Book Antiqua" w:hAnsi="Book Antiqua"/>
          <w:szCs w:val="22"/>
        </w:rPr>
        <w:t>le</w:t>
      </w:r>
      <w:r w:rsidR="00DB6CEE">
        <w:rPr>
          <w:rFonts w:ascii="Book Antiqua" w:hAnsi="Book Antiqua"/>
          <w:szCs w:val="22"/>
        </w:rPr>
        <w:t xml:space="preserve"> </w:t>
      </w:r>
      <w:r w:rsidR="0063343F" w:rsidRPr="0063343F">
        <w:rPr>
          <w:rFonts w:ascii="Book Antiqua" w:hAnsi="Book Antiqua"/>
          <w:szCs w:val="22"/>
        </w:rPr>
        <w:t>violazioni al</w:t>
      </w:r>
      <w:r w:rsidR="0063343F">
        <w:rPr>
          <w:rFonts w:ascii="Book Antiqua" w:hAnsi="Book Antiqua"/>
          <w:szCs w:val="22"/>
        </w:rPr>
        <w:t xml:space="preserve"> Codice della strada</w:t>
      </w:r>
      <w:r w:rsidR="00DB6CEE">
        <w:rPr>
          <w:rFonts w:ascii="Book Antiqua" w:hAnsi="Book Antiqua"/>
          <w:szCs w:val="22"/>
        </w:rPr>
        <w:t xml:space="preserve"> ai sensi dell</w:t>
      </w:r>
      <w:r w:rsidR="00DB6CEE">
        <w:t>’</w:t>
      </w:r>
      <w:r w:rsidR="00DB6CEE" w:rsidRPr="00DB6CEE">
        <w:rPr>
          <w:rFonts w:ascii="Book Antiqua" w:hAnsi="Book Antiqua"/>
          <w:szCs w:val="22"/>
        </w:rPr>
        <w:t>art. 208</w:t>
      </w:r>
      <w:r w:rsidR="00DB6CEE">
        <w:rPr>
          <w:rFonts w:ascii="Book Antiqua" w:hAnsi="Book Antiqua"/>
          <w:szCs w:val="22"/>
        </w:rPr>
        <w:t xml:space="preserve"> del</w:t>
      </w:r>
      <w:r w:rsidR="00DB6CEE" w:rsidRPr="00DB6CEE">
        <w:rPr>
          <w:rFonts w:ascii="Book Antiqua" w:hAnsi="Book Antiqua"/>
          <w:szCs w:val="22"/>
        </w:rPr>
        <w:t xml:space="preserve"> d.lgs. 30 aprile 1992, n. 285</w:t>
      </w:r>
      <w:r w:rsidR="00DB6CEE">
        <w:rPr>
          <w:rFonts w:ascii="Book Antiqua" w:hAnsi="Book Antiqua"/>
          <w:szCs w:val="22"/>
        </w:rPr>
        <w:t>.</w:t>
      </w:r>
    </w:p>
    <w:p w14:paraId="06BA2555" w14:textId="067ED6DC" w:rsidR="00410ED1" w:rsidRDefault="00DB6CEE" w:rsidP="006378F0">
      <w:pPr>
        <w:spacing w:after="120" w:line="340" w:lineRule="exact"/>
        <w:ind w:firstLine="0"/>
        <w:jc w:val="both"/>
        <w:rPr>
          <w:rFonts w:ascii="Book Antiqua" w:hAnsi="Book Antiqua"/>
          <w:szCs w:val="22"/>
        </w:rPr>
      </w:pPr>
      <w:r>
        <w:rPr>
          <w:rFonts w:ascii="Book Antiqua" w:hAnsi="Book Antiqua"/>
          <w:szCs w:val="22"/>
        </w:rPr>
        <w:t>L’istanza del Sindaco di Milano si articola in tre quesiti, il primo dei quali chiede di conoscere se</w:t>
      </w:r>
      <w:r w:rsidR="007541E9">
        <w:rPr>
          <w:rFonts w:ascii="Book Antiqua" w:hAnsi="Book Antiqua"/>
          <w:szCs w:val="22"/>
        </w:rPr>
        <w:t xml:space="preserve"> le disposizioni di cui al </w:t>
      </w:r>
      <w:r w:rsidR="00E21976">
        <w:rPr>
          <w:rFonts w:ascii="Book Antiqua" w:hAnsi="Book Antiqua"/>
          <w:szCs w:val="22"/>
        </w:rPr>
        <w:t xml:space="preserve">comma 4, lett. b) e c), del </w:t>
      </w:r>
      <w:r w:rsidR="007541E9">
        <w:rPr>
          <w:rFonts w:ascii="Book Antiqua" w:hAnsi="Book Antiqua"/>
          <w:szCs w:val="22"/>
        </w:rPr>
        <w:t>citato art. 208</w:t>
      </w:r>
      <w:r w:rsidR="00610486">
        <w:rPr>
          <w:rFonts w:ascii="Book Antiqua" w:hAnsi="Book Antiqua"/>
          <w:szCs w:val="22"/>
        </w:rPr>
        <w:t xml:space="preserve"> </w:t>
      </w:r>
      <w:r w:rsidR="00E41CD6">
        <w:rPr>
          <w:rFonts w:ascii="Book Antiqua" w:hAnsi="Book Antiqua"/>
          <w:szCs w:val="22"/>
        </w:rPr>
        <w:t>possano qualificarsi</w:t>
      </w:r>
      <w:r w:rsidR="0090700F">
        <w:rPr>
          <w:rFonts w:ascii="Book Antiqua" w:hAnsi="Book Antiqua"/>
          <w:szCs w:val="22"/>
        </w:rPr>
        <w:t xml:space="preserve"> tra le “</w:t>
      </w:r>
      <w:r w:rsidR="0090700F" w:rsidRPr="00EF4A6C">
        <w:rPr>
          <w:rFonts w:ascii="Book Antiqua" w:hAnsi="Book Antiqua"/>
          <w:i/>
          <w:szCs w:val="22"/>
        </w:rPr>
        <w:t>specifiche disposizioni di legge</w:t>
      </w:r>
      <w:r w:rsidR="0090700F">
        <w:rPr>
          <w:rFonts w:ascii="Book Antiqua" w:hAnsi="Book Antiqua"/>
          <w:szCs w:val="22"/>
        </w:rPr>
        <w:t xml:space="preserve">” che </w:t>
      </w:r>
      <w:r w:rsidR="0090700F" w:rsidRPr="0090700F">
        <w:rPr>
          <w:rFonts w:ascii="Book Antiqua" w:hAnsi="Book Antiqua"/>
          <w:szCs w:val="22"/>
        </w:rPr>
        <w:t xml:space="preserve">l’art. 14, comma </w:t>
      </w:r>
      <w:r w:rsidR="0090700F">
        <w:rPr>
          <w:rFonts w:ascii="Book Antiqua" w:hAnsi="Book Antiqua"/>
          <w:szCs w:val="22"/>
        </w:rPr>
        <w:t>2</w:t>
      </w:r>
      <w:r w:rsidR="0090700F" w:rsidRPr="0090700F">
        <w:rPr>
          <w:rFonts w:ascii="Book Antiqua" w:hAnsi="Book Antiqua"/>
          <w:szCs w:val="22"/>
        </w:rPr>
        <w:t>, del CCNL del comparto Regioni-Autonomie locali 1° aprile 1999,</w:t>
      </w:r>
      <w:r w:rsidR="0090700F">
        <w:rPr>
          <w:rFonts w:ascii="Book Antiqua" w:hAnsi="Book Antiqua"/>
          <w:szCs w:val="22"/>
        </w:rPr>
        <w:t xml:space="preserve"> individua </w:t>
      </w:r>
      <w:r w:rsidR="00E21976">
        <w:rPr>
          <w:rFonts w:ascii="Book Antiqua" w:hAnsi="Book Antiqua"/>
          <w:szCs w:val="22"/>
        </w:rPr>
        <w:t>quale</w:t>
      </w:r>
      <w:r w:rsidR="0090700F">
        <w:rPr>
          <w:rFonts w:ascii="Book Antiqua" w:hAnsi="Book Antiqua"/>
          <w:szCs w:val="22"/>
        </w:rPr>
        <w:t xml:space="preserve"> strumento idoneo a veicolare risorse aggiuntive al fondo </w:t>
      </w:r>
      <w:r w:rsidR="0090700F" w:rsidRPr="0090700F">
        <w:rPr>
          <w:rFonts w:ascii="Book Antiqua" w:hAnsi="Book Antiqua"/>
          <w:szCs w:val="22"/>
        </w:rPr>
        <w:t>per il compenso del lavoro straordinario</w:t>
      </w:r>
      <w:r w:rsidR="0090700F">
        <w:rPr>
          <w:rFonts w:ascii="Book Antiqua" w:hAnsi="Book Antiqua"/>
          <w:szCs w:val="22"/>
        </w:rPr>
        <w:t>.</w:t>
      </w:r>
    </w:p>
    <w:p w14:paraId="7350E588" w14:textId="4322014B" w:rsidR="00175264" w:rsidRDefault="00175264" w:rsidP="006378F0">
      <w:pPr>
        <w:spacing w:after="120" w:line="340" w:lineRule="exact"/>
        <w:ind w:firstLine="0"/>
        <w:jc w:val="both"/>
        <w:rPr>
          <w:rFonts w:ascii="Book Antiqua" w:hAnsi="Book Antiqua"/>
          <w:szCs w:val="22"/>
        </w:rPr>
      </w:pPr>
      <w:r>
        <w:rPr>
          <w:rFonts w:ascii="Book Antiqua" w:hAnsi="Book Antiqua"/>
          <w:szCs w:val="22"/>
        </w:rPr>
        <w:t>Con il secondo quesito chiede</w:t>
      </w:r>
      <w:r w:rsidR="00EF4A6C">
        <w:rPr>
          <w:rFonts w:ascii="Book Antiqua" w:hAnsi="Book Antiqua"/>
          <w:szCs w:val="22"/>
        </w:rPr>
        <w:t>, invece,</w:t>
      </w:r>
      <w:r>
        <w:rPr>
          <w:rFonts w:ascii="Book Antiqua" w:hAnsi="Book Antiqua"/>
          <w:szCs w:val="22"/>
        </w:rPr>
        <w:t xml:space="preserve"> se gli “</w:t>
      </w:r>
      <w:r w:rsidRPr="00EF4A6C">
        <w:rPr>
          <w:rFonts w:ascii="Book Antiqua" w:hAnsi="Book Antiqua"/>
          <w:i/>
          <w:szCs w:val="22"/>
        </w:rPr>
        <w:t>incentivi monetari</w:t>
      </w:r>
      <w:r w:rsidR="00EF4A6C" w:rsidRPr="00EF4A6C">
        <w:rPr>
          <w:i/>
        </w:rPr>
        <w:t xml:space="preserve"> </w:t>
      </w:r>
      <w:r w:rsidR="00EF4A6C" w:rsidRPr="00EF4A6C">
        <w:rPr>
          <w:rFonts w:ascii="Book Antiqua" w:hAnsi="Book Antiqua"/>
          <w:i/>
          <w:szCs w:val="22"/>
        </w:rPr>
        <w:t>collegati a obiettivi di potenziamento dei servizi di controllo finalizzati alla sicurezza urbana e stradale</w:t>
      </w:r>
      <w:r>
        <w:rPr>
          <w:rFonts w:ascii="Book Antiqua" w:hAnsi="Book Antiqua"/>
          <w:szCs w:val="22"/>
        </w:rPr>
        <w:t>”</w:t>
      </w:r>
      <w:r w:rsidR="00EF4A6C">
        <w:rPr>
          <w:rFonts w:ascii="Book Antiqua" w:hAnsi="Book Antiqua"/>
          <w:szCs w:val="22"/>
        </w:rPr>
        <w:t xml:space="preserve">, che l’art. </w:t>
      </w:r>
      <w:r w:rsidR="00EF4A6C" w:rsidRPr="00EF4A6C">
        <w:rPr>
          <w:rFonts w:ascii="Book Antiqua" w:hAnsi="Book Antiqua"/>
          <w:szCs w:val="22"/>
        </w:rPr>
        <w:t>56-</w:t>
      </w:r>
      <w:r w:rsidR="00EF4A6C" w:rsidRPr="00EF4A6C">
        <w:rPr>
          <w:rFonts w:ascii="Book Antiqua" w:hAnsi="Book Antiqua"/>
          <w:i/>
          <w:szCs w:val="22"/>
        </w:rPr>
        <w:lastRenderedPageBreak/>
        <w:t>quater</w:t>
      </w:r>
      <w:r w:rsidR="00EF4A6C" w:rsidRPr="00EF4A6C">
        <w:rPr>
          <w:rFonts w:ascii="Book Antiqua" w:hAnsi="Book Antiqua"/>
          <w:szCs w:val="22"/>
        </w:rPr>
        <w:t xml:space="preserve"> </w:t>
      </w:r>
      <w:r w:rsidR="00EF4A6C">
        <w:rPr>
          <w:rFonts w:ascii="Book Antiqua" w:hAnsi="Book Antiqua"/>
          <w:szCs w:val="22"/>
        </w:rPr>
        <w:t xml:space="preserve">del </w:t>
      </w:r>
      <w:r w:rsidR="00EF4A6C" w:rsidRPr="00EF4A6C">
        <w:rPr>
          <w:rFonts w:ascii="Book Antiqua" w:hAnsi="Book Antiqua"/>
          <w:szCs w:val="22"/>
        </w:rPr>
        <w:t xml:space="preserve">nuovo CCNL del personale del comparto “Funzioni locali”, sottoscritto il 21 maggio 2018, </w:t>
      </w:r>
      <w:r w:rsidR="0024534B">
        <w:rPr>
          <w:rFonts w:ascii="Book Antiqua" w:hAnsi="Book Antiqua"/>
          <w:szCs w:val="22"/>
        </w:rPr>
        <w:t>consente</w:t>
      </w:r>
      <w:r w:rsidR="00EF4A6C">
        <w:rPr>
          <w:rFonts w:ascii="Book Antiqua" w:hAnsi="Book Antiqua"/>
          <w:szCs w:val="22"/>
        </w:rPr>
        <w:t xml:space="preserve"> di</w:t>
      </w:r>
      <w:r w:rsidR="00EF4A6C" w:rsidRPr="00EF4A6C">
        <w:rPr>
          <w:rFonts w:ascii="Book Antiqua" w:hAnsi="Book Antiqua"/>
          <w:szCs w:val="22"/>
        </w:rPr>
        <w:t xml:space="preserve"> </w:t>
      </w:r>
      <w:r w:rsidR="00A41BFD">
        <w:rPr>
          <w:rFonts w:ascii="Book Antiqua" w:hAnsi="Book Antiqua"/>
          <w:szCs w:val="22"/>
        </w:rPr>
        <w:t>erogare</w:t>
      </w:r>
      <w:r w:rsidR="00EF4A6C" w:rsidRPr="00EF4A6C">
        <w:rPr>
          <w:rFonts w:ascii="Book Antiqua" w:hAnsi="Book Antiqua"/>
          <w:szCs w:val="22"/>
        </w:rPr>
        <w:t xml:space="preserve"> </w:t>
      </w:r>
      <w:r w:rsidR="00527D9C">
        <w:rPr>
          <w:rFonts w:ascii="Book Antiqua" w:hAnsi="Book Antiqua"/>
          <w:szCs w:val="22"/>
        </w:rPr>
        <w:t>(</w:t>
      </w:r>
      <w:r w:rsidR="0024534B">
        <w:rPr>
          <w:rFonts w:ascii="Book Antiqua" w:hAnsi="Book Antiqua"/>
          <w:szCs w:val="22"/>
        </w:rPr>
        <w:t>e</w:t>
      </w:r>
      <w:r w:rsidR="00527D9C">
        <w:rPr>
          <w:rFonts w:ascii="Book Antiqua" w:hAnsi="Book Antiqua"/>
          <w:szCs w:val="22"/>
        </w:rPr>
        <w:t xml:space="preserve">ventualmente </w:t>
      </w:r>
      <w:r w:rsidR="0024534B">
        <w:rPr>
          <w:rFonts w:ascii="Book Antiqua" w:hAnsi="Book Antiqua"/>
          <w:szCs w:val="22"/>
        </w:rPr>
        <w:t xml:space="preserve">anche </w:t>
      </w:r>
      <w:r w:rsidR="00EF4A6C">
        <w:rPr>
          <w:rFonts w:ascii="Book Antiqua" w:hAnsi="Book Antiqua"/>
          <w:szCs w:val="22"/>
        </w:rPr>
        <w:t>in favore del</w:t>
      </w:r>
      <w:r w:rsidR="00527D9C">
        <w:rPr>
          <w:rFonts w:ascii="Book Antiqua" w:hAnsi="Book Antiqua"/>
          <w:szCs w:val="22"/>
        </w:rPr>
        <w:t>le prestazioni di lavoro straordinario)</w:t>
      </w:r>
      <w:r w:rsidR="00EF4A6C" w:rsidRPr="00EF4A6C">
        <w:rPr>
          <w:rFonts w:ascii="Book Antiqua" w:hAnsi="Book Antiqua"/>
          <w:szCs w:val="22"/>
        </w:rPr>
        <w:t xml:space="preserve"> </w:t>
      </w:r>
      <w:r w:rsidR="0024534B">
        <w:rPr>
          <w:rFonts w:ascii="Book Antiqua" w:hAnsi="Book Antiqua"/>
          <w:szCs w:val="22"/>
        </w:rPr>
        <w:t xml:space="preserve">a valere </w:t>
      </w:r>
      <w:r w:rsidR="00EF4A6C" w:rsidRPr="00EF4A6C">
        <w:rPr>
          <w:rFonts w:ascii="Book Antiqua" w:hAnsi="Book Antiqua"/>
          <w:szCs w:val="22"/>
        </w:rPr>
        <w:t>dei proventi de</w:t>
      </w:r>
      <w:r w:rsidR="00EF4A6C">
        <w:rPr>
          <w:rFonts w:ascii="Book Antiqua" w:hAnsi="Book Antiqua"/>
          <w:szCs w:val="22"/>
        </w:rPr>
        <w:t>rivanti da</w:t>
      </w:r>
      <w:r w:rsidR="00EF4A6C" w:rsidRPr="00EF4A6C">
        <w:rPr>
          <w:rFonts w:ascii="Book Antiqua" w:hAnsi="Book Antiqua"/>
          <w:szCs w:val="22"/>
        </w:rPr>
        <w:t xml:space="preserve">lle violazioni del </w:t>
      </w:r>
      <w:r w:rsidR="00EF4A6C">
        <w:rPr>
          <w:rFonts w:ascii="Book Antiqua" w:hAnsi="Book Antiqua"/>
          <w:szCs w:val="22"/>
        </w:rPr>
        <w:t>C</w:t>
      </w:r>
      <w:r w:rsidR="00EF4A6C" w:rsidRPr="00EF4A6C">
        <w:rPr>
          <w:rFonts w:ascii="Book Antiqua" w:hAnsi="Book Antiqua"/>
          <w:szCs w:val="22"/>
        </w:rPr>
        <w:t>odice della strada</w:t>
      </w:r>
      <w:r w:rsidR="00527D9C">
        <w:rPr>
          <w:rFonts w:ascii="Book Antiqua" w:hAnsi="Book Antiqua"/>
          <w:szCs w:val="22"/>
        </w:rPr>
        <w:t xml:space="preserve">, </w:t>
      </w:r>
      <w:r w:rsidR="00527D9C" w:rsidRPr="00527D9C">
        <w:rPr>
          <w:rFonts w:ascii="Book Antiqua" w:hAnsi="Book Antiqua"/>
          <w:szCs w:val="22"/>
        </w:rPr>
        <w:t>possano essere sottratt</w:t>
      </w:r>
      <w:r w:rsidR="00527D9C">
        <w:rPr>
          <w:rFonts w:ascii="Book Antiqua" w:hAnsi="Book Antiqua"/>
          <w:szCs w:val="22"/>
        </w:rPr>
        <w:t>i</w:t>
      </w:r>
      <w:r w:rsidR="00527D9C" w:rsidRPr="00527D9C">
        <w:rPr>
          <w:rFonts w:ascii="Book Antiqua" w:hAnsi="Book Antiqua"/>
          <w:szCs w:val="22"/>
        </w:rPr>
        <w:t xml:space="preserve"> ai vincoli di finanza pubblica previsti dall’art. 23, comma 2, del d.lgs. 25 maggio 2017, n. 75</w:t>
      </w:r>
      <w:r w:rsidR="00527D9C">
        <w:rPr>
          <w:rFonts w:ascii="Book Antiqua" w:hAnsi="Book Antiqua"/>
          <w:szCs w:val="22"/>
        </w:rPr>
        <w:t>.</w:t>
      </w:r>
    </w:p>
    <w:p w14:paraId="62715134" w14:textId="11765978" w:rsidR="00527D9C" w:rsidRDefault="00527D9C" w:rsidP="006378F0">
      <w:pPr>
        <w:spacing w:after="120" w:line="340" w:lineRule="exact"/>
        <w:ind w:firstLine="0"/>
        <w:jc w:val="both"/>
        <w:rPr>
          <w:rFonts w:ascii="Book Antiqua" w:hAnsi="Book Antiqua"/>
          <w:szCs w:val="22"/>
        </w:rPr>
      </w:pPr>
      <w:r>
        <w:rPr>
          <w:rFonts w:ascii="Book Antiqua" w:hAnsi="Book Antiqua"/>
          <w:szCs w:val="22"/>
        </w:rPr>
        <w:t>Con il terzo</w:t>
      </w:r>
      <w:r w:rsidR="003F6976">
        <w:rPr>
          <w:rFonts w:ascii="Book Antiqua" w:hAnsi="Book Antiqua"/>
          <w:szCs w:val="22"/>
        </w:rPr>
        <w:t xml:space="preserve"> ed ultimo</w:t>
      </w:r>
      <w:r>
        <w:rPr>
          <w:rFonts w:ascii="Book Antiqua" w:hAnsi="Book Antiqua"/>
          <w:szCs w:val="22"/>
        </w:rPr>
        <w:t xml:space="preserve"> quesito chiede, infine, se</w:t>
      </w:r>
      <w:r w:rsidR="00E21976">
        <w:rPr>
          <w:rFonts w:ascii="Book Antiqua" w:hAnsi="Book Antiqua"/>
          <w:szCs w:val="22"/>
        </w:rPr>
        <w:t>,</w:t>
      </w:r>
      <w:r>
        <w:rPr>
          <w:rFonts w:ascii="Book Antiqua" w:hAnsi="Book Antiqua"/>
          <w:szCs w:val="22"/>
        </w:rPr>
        <w:t xml:space="preserve"> ai sensi dell’art. 14, commi 1 e 4, del richiamato CCNL 1° aprile 1999, </w:t>
      </w:r>
      <w:r w:rsidR="00747873">
        <w:rPr>
          <w:rFonts w:ascii="Book Antiqua" w:hAnsi="Book Antiqua"/>
          <w:szCs w:val="22"/>
        </w:rPr>
        <w:t xml:space="preserve">sia possibile escludere gli oneri relativi agli incrementi contrattuali dal calcolo dei limiti del fondo per </w:t>
      </w:r>
      <w:r w:rsidR="00E21976">
        <w:rPr>
          <w:rFonts w:ascii="Book Antiqua" w:hAnsi="Book Antiqua"/>
          <w:szCs w:val="22"/>
        </w:rPr>
        <w:t>i</w:t>
      </w:r>
      <w:r w:rsidR="00747873">
        <w:rPr>
          <w:rFonts w:ascii="Book Antiqua" w:hAnsi="Book Antiqua"/>
          <w:szCs w:val="22"/>
        </w:rPr>
        <w:t>l</w:t>
      </w:r>
      <w:r w:rsidR="00E21976">
        <w:rPr>
          <w:rFonts w:ascii="Book Antiqua" w:hAnsi="Book Antiqua"/>
          <w:szCs w:val="22"/>
        </w:rPr>
        <w:t xml:space="preserve"> lavor</w:t>
      </w:r>
      <w:r w:rsidR="00747873">
        <w:rPr>
          <w:rFonts w:ascii="Book Antiqua" w:hAnsi="Book Antiqua"/>
          <w:szCs w:val="22"/>
        </w:rPr>
        <w:t>o straordinario, onde</w:t>
      </w:r>
      <w:r w:rsidR="00747873" w:rsidRPr="00747873">
        <w:t xml:space="preserve"> </w:t>
      </w:r>
      <w:r w:rsidR="00747873" w:rsidRPr="00747873">
        <w:rPr>
          <w:rFonts w:ascii="Book Antiqua" w:hAnsi="Book Antiqua"/>
          <w:szCs w:val="22"/>
        </w:rPr>
        <w:t>evitare di ridurre ulteriormente il numero di ore di straordinario disponibili.</w:t>
      </w:r>
    </w:p>
    <w:p w14:paraId="32B0CF38" w14:textId="04530B91" w:rsidR="00057781" w:rsidRPr="00057781" w:rsidRDefault="00A41BFD" w:rsidP="00057781">
      <w:pPr>
        <w:spacing w:after="120" w:line="340" w:lineRule="exact"/>
        <w:ind w:firstLine="0"/>
        <w:jc w:val="both"/>
        <w:rPr>
          <w:rFonts w:ascii="Book Antiqua" w:hAnsi="Book Antiqua"/>
          <w:szCs w:val="22"/>
        </w:rPr>
      </w:pPr>
      <w:r w:rsidRPr="00A41BFD">
        <w:rPr>
          <w:rFonts w:ascii="Book Antiqua" w:hAnsi="Book Antiqua"/>
          <w:szCs w:val="22"/>
        </w:rPr>
        <w:t>Con la deliberazione n. 3</w:t>
      </w:r>
      <w:r>
        <w:rPr>
          <w:rFonts w:ascii="Book Antiqua" w:hAnsi="Book Antiqua"/>
          <w:szCs w:val="22"/>
        </w:rPr>
        <w:t>34</w:t>
      </w:r>
      <w:r w:rsidRPr="00A41BFD">
        <w:rPr>
          <w:rFonts w:ascii="Book Antiqua" w:hAnsi="Book Antiqua"/>
          <w:szCs w:val="22"/>
        </w:rPr>
        <w:t>/2018/</w:t>
      </w:r>
      <w:r>
        <w:rPr>
          <w:rFonts w:ascii="Book Antiqua" w:hAnsi="Book Antiqua"/>
          <w:szCs w:val="22"/>
        </w:rPr>
        <w:t>QMIG</w:t>
      </w:r>
      <w:r w:rsidRPr="00A41BFD">
        <w:rPr>
          <w:rFonts w:ascii="Book Antiqua" w:hAnsi="Book Antiqua"/>
          <w:szCs w:val="22"/>
        </w:rPr>
        <w:t xml:space="preserve"> del 5 ottobre 2018, la Sezione regionale di controllo per</w:t>
      </w:r>
      <w:r>
        <w:rPr>
          <w:rFonts w:ascii="Book Antiqua" w:hAnsi="Book Antiqua"/>
          <w:szCs w:val="22"/>
        </w:rPr>
        <w:t xml:space="preserve"> la Lombardia</w:t>
      </w:r>
      <w:r w:rsidR="00057781">
        <w:rPr>
          <w:rFonts w:ascii="Book Antiqua" w:hAnsi="Book Antiqua"/>
          <w:szCs w:val="22"/>
        </w:rPr>
        <w:t>,</w:t>
      </w:r>
      <w:r w:rsidR="00057781" w:rsidRPr="00057781">
        <w:t xml:space="preserve"> </w:t>
      </w:r>
      <w:r w:rsidR="00057781" w:rsidRPr="00057781">
        <w:rPr>
          <w:rFonts w:ascii="Book Antiqua" w:hAnsi="Book Antiqua"/>
          <w:szCs w:val="22"/>
        </w:rPr>
        <w:t>valutati positivamente i profili di ammissibilità soggettiva</w:t>
      </w:r>
      <w:r w:rsidR="00057781">
        <w:rPr>
          <w:rFonts w:ascii="Book Antiqua" w:hAnsi="Book Antiqua"/>
          <w:szCs w:val="22"/>
        </w:rPr>
        <w:t xml:space="preserve"> della richiesta di parere</w:t>
      </w:r>
      <w:r w:rsidR="00057781" w:rsidRPr="00057781">
        <w:rPr>
          <w:rFonts w:ascii="Book Antiqua" w:hAnsi="Book Antiqua"/>
          <w:szCs w:val="22"/>
        </w:rPr>
        <w:t xml:space="preserve">, ha ritenuto ammissibili, </w:t>
      </w:r>
      <w:r w:rsidR="003F6976">
        <w:rPr>
          <w:rFonts w:ascii="Book Antiqua" w:hAnsi="Book Antiqua"/>
          <w:szCs w:val="22"/>
        </w:rPr>
        <w:t>sotto</w:t>
      </w:r>
      <w:r w:rsidR="00057781" w:rsidRPr="00057781">
        <w:rPr>
          <w:rFonts w:ascii="Book Antiqua" w:hAnsi="Book Antiqua"/>
          <w:szCs w:val="22"/>
        </w:rPr>
        <w:t xml:space="preserve"> </w:t>
      </w:r>
      <w:r w:rsidR="003F6976">
        <w:rPr>
          <w:rFonts w:ascii="Book Antiqua" w:hAnsi="Book Antiqua"/>
          <w:szCs w:val="22"/>
        </w:rPr>
        <w:t>i</w:t>
      </w:r>
      <w:r w:rsidR="00057781" w:rsidRPr="00057781">
        <w:rPr>
          <w:rFonts w:ascii="Book Antiqua" w:hAnsi="Book Antiqua"/>
          <w:szCs w:val="22"/>
        </w:rPr>
        <w:t xml:space="preserve">l profilo oggettivo, solo il secondo e, in parte, il terzo dei quesiti prospettati dal Comune istante, in quanto orientati ad ottenere un chiarimento interpretativo di carattere generale su una norma di coordinamento della finanza pubblica </w:t>
      </w:r>
      <w:r w:rsidR="003F6976">
        <w:rPr>
          <w:rFonts w:ascii="Book Antiqua" w:hAnsi="Book Antiqua"/>
          <w:szCs w:val="22"/>
        </w:rPr>
        <w:t xml:space="preserve">quale </w:t>
      </w:r>
      <w:r w:rsidR="00057781" w:rsidRPr="00057781">
        <w:rPr>
          <w:rFonts w:ascii="Book Antiqua" w:hAnsi="Book Antiqua"/>
          <w:szCs w:val="22"/>
        </w:rPr>
        <w:t>l’art. 23, comma 2, del d.lgs. n. 75/2017.</w:t>
      </w:r>
    </w:p>
    <w:p w14:paraId="0AE8EC4D" w14:textId="1E405919" w:rsidR="00410ED1" w:rsidRDefault="00057781" w:rsidP="00057781">
      <w:pPr>
        <w:spacing w:after="120" w:line="340" w:lineRule="exact"/>
        <w:ind w:firstLine="0"/>
        <w:jc w:val="both"/>
        <w:rPr>
          <w:rFonts w:ascii="Book Antiqua" w:hAnsi="Book Antiqua"/>
          <w:szCs w:val="22"/>
        </w:rPr>
      </w:pPr>
      <w:r w:rsidRPr="00057781">
        <w:rPr>
          <w:rFonts w:ascii="Book Antiqua" w:hAnsi="Book Antiqua"/>
          <w:szCs w:val="22"/>
        </w:rPr>
        <w:t>In ordine al</w:t>
      </w:r>
      <w:r w:rsidR="00E109A8">
        <w:rPr>
          <w:rFonts w:ascii="Book Antiqua" w:hAnsi="Book Antiqua"/>
          <w:szCs w:val="22"/>
        </w:rPr>
        <w:t>l’inammissibilità del</w:t>
      </w:r>
      <w:r w:rsidRPr="00057781">
        <w:rPr>
          <w:rFonts w:ascii="Book Antiqua" w:hAnsi="Book Antiqua"/>
          <w:szCs w:val="22"/>
        </w:rPr>
        <w:t xml:space="preserve"> primo quesito, invece, pur sembrando la questione attenere quasi esclusivamente all’interpretazione di una norma del contratto collettivo nazionale</w:t>
      </w:r>
      <w:r w:rsidR="00E109A8">
        <w:rPr>
          <w:rFonts w:ascii="Book Antiqua" w:hAnsi="Book Antiqua"/>
          <w:szCs w:val="22"/>
        </w:rPr>
        <w:t xml:space="preserve"> </w:t>
      </w:r>
      <w:r w:rsidR="00E109A8" w:rsidRPr="00E109A8">
        <w:rPr>
          <w:rFonts w:ascii="Book Antiqua" w:hAnsi="Book Antiqua"/>
          <w:szCs w:val="22"/>
        </w:rPr>
        <w:t>(</w:t>
      </w:r>
      <w:r w:rsidR="0029643D">
        <w:rPr>
          <w:rFonts w:ascii="Book Antiqua" w:hAnsi="Book Antiqua"/>
          <w:szCs w:val="22"/>
        </w:rPr>
        <w:t xml:space="preserve">per i precedenti </w:t>
      </w:r>
      <w:r w:rsidR="00E109A8">
        <w:rPr>
          <w:rFonts w:ascii="Book Antiqua" w:hAnsi="Book Antiqua"/>
          <w:szCs w:val="22"/>
        </w:rPr>
        <w:t xml:space="preserve">al riguardo </w:t>
      </w:r>
      <w:r w:rsidR="0029643D">
        <w:rPr>
          <w:rFonts w:ascii="Book Antiqua" w:hAnsi="Book Antiqua"/>
          <w:szCs w:val="22"/>
        </w:rPr>
        <w:t xml:space="preserve">si fa rinvio alle </w:t>
      </w:r>
      <w:r w:rsidR="00E109A8" w:rsidRPr="00E109A8">
        <w:rPr>
          <w:rFonts w:ascii="Book Antiqua" w:hAnsi="Book Antiqua"/>
          <w:szCs w:val="22"/>
        </w:rPr>
        <w:t>Sezioni riunite della Corte dei conti n. 56/2011/CONTR e n. 50/CONTR/2010)</w:t>
      </w:r>
      <w:r w:rsidRPr="00057781">
        <w:rPr>
          <w:rFonts w:ascii="Book Antiqua" w:hAnsi="Book Antiqua"/>
          <w:szCs w:val="22"/>
        </w:rPr>
        <w:t xml:space="preserve">, </w:t>
      </w:r>
      <w:r w:rsidR="0029643D">
        <w:rPr>
          <w:rFonts w:ascii="Book Antiqua" w:hAnsi="Book Antiqua"/>
          <w:szCs w:val="22"/>
        </w:rPr>
        <w:t xml:space="preserve">la Sezione </w:t>
      </w:r>
      <w:r w:rsidRPr="00057781">
        <w:rPr>
          <w:rFonts w:ascii="Book Antiqua" w:hAnsi="Book Antiqua"/>
          <w:szCs w:val="22"/>
        </w:rPr>
        <w:t xml:space="preserve">ha ritenuto opportuno sottoporre la delibazione di ammissibilità ad apposito pronunciamento nomofilattico, stante la presenza, in materia, di precedenti pronunce delle Sezioni regionali </w:t>
      </w:r>
      <w:r>
        <w:rPr>
          <w:rFonts w:ascii="Book Antiqua" w:hAnsi="Book Antiqua"/>
          <w:szCs w:val="22"/>
        </w:rPr>
        <w:t xml:space="preserve">di controllo </w:t>
      </w:r>
      <w:r w:rsidRPr="00057781">
        <w:rPr>
          <w:rFonts w:ascii="Book Antiqua" w:hAnsi="Book Antiqua"/>
          <w:szCs w:val="22"/>
        </w:rPr>
        <w:t xml:space="preserve">in sede consultiva </w:t>
      </w:r>
      <w:r w:rsidR="0029643D">
        <w:rPr>
          <w:rFonts w:ascii="Book Antiqua" w:hAnsi="Book Antiqua"/>
          <w:szCs w:val="22"/>
        </w:rPr>
        <w:t>e</w:t>
      </w:r>
      <w:r w:rsidRPr="00057781">
        <w:rPr>
          <w:rFonts w:ascii="Book Antiqua" w:hAnsi="Book Antiqua"/>
          <w:szCs w:val="22"/>
        </w:rPr>
        <w:t xml:space="preserve"> la recente stipula del </w:t>
      </w:r>
      <w:r w:rsidR="00E21976">
        <w:rPr>
          <w:rFonts w:ascii="Book Antiqua" w:hAnsi="Book Antiqua"/>
          <w:szCs w:val="22"/>
        </w:rPr>
        <w:t xml:space="preserve">citato </w:t>
      </w:r>
      <w:r w:rsidRPr="00057781">
        <w:rPr>
          <w:rFonts w:ascii="Book Antiqua" w:hAnsi="Book Antiqua"/>
          <w:szCs w:val="22"/>
        </w:rPr>
        <w:t xml:space="preserve">CCNL </w:t>
      </w:r>
      <w:bookmarkStart w:id="9" w:name="_Hlk4359016"/>
      <w:r w:rsidRPr="00057781">
        <w:rPr>
          <w:rFonts w:ascii="Book Antiqua" w:hAnsi="Book Antiqua"/>
          <w:szCs w:val="22"/>
        </w:rPr>
        <w:t xml:space="preserve">del 21 maggio 2018 </w:t>
      </w:r>
      <w:bookmarkEnd w:id="9"/>
      <w:r w:rsidRPr="00057781">
        <w:rPr>
          <w:rFonts w:ascii="Book Antiqua" w:hAnsi="Book Antiqua"/>
          <w:szCs w:val="22"/>
        </w:rPr>
        <w:t>che ha specificato</w:t>
      </w:r>
      <w:r w:rsidR="00E21976">
        <w:rPr>
          <w:rFonts w:ascii="Book Antiqua" w:hAnsi="Book Antiqua"/>
          <w:szCs w:val="22"/>
        </w:rPr>
        <w:t xml:space="preserve">, </w:t>
      </w:r>
      <w:r w:rsidR="0029643D">
        <w:rPr>
          <w:rFonts w:ascii="Book Antiqua" w:hAnsi="Book Antiqua"/>
          <w:szCs w:val="22"/>
        </w:rPr>
        <w:t>in proposito</w:t>
      </w:r>
      <w:r w:rsidR="00E21976">
        <w:rPr>
          <w:rFonts w:ascii="Book Antiqua" w:hAnsi="Book Antiqua"/>
          <w:szCs w:val="22"/>
        </w:rPr>
        <w:t>,</w:t>
      </w:r>
      <w:r w:rsidRPr="00057781">
        <w:rPr>
          <w:rFonts w:ascii="Book Antiqua" w:hAnsi="Book Antiqua"/>
          <w:szCs w:val="22"/>
        </w:rPr>
        <w:t xml:space="preserve"> talune modalità attuative dell’art. 208 del d.lgs. n. 285/1992.</w:t>
      </w:r>
    </w:p>
    <w:p w14:paraId="3FE7D6BD" w14:textId="2E6FB866" w:rsidR="00C81E6A" w:rsidRPr="00C81E6A" w:rsidRDefault="00A14626" w:rsidP="00C81E6A">
      <w:pPr>
        <w:spacing w:after="120" w:line="340" w:lineRule="exact"/>
        <w:ind w:firstLine="0"/>
        <w:jc w:val="both"/>
        <w:rPr>
          <w:rFonts w:ascii="Book Antiqua" w:hAnsi="Book Antiqua"/>
          <w:szCs w:val="22"/>
        </w:rPr>
      </w:pPr>
      <w:r w:rsidRPr="00A14626">
        <w:rPr>
          <w:rFonts w:ascii="Book Antiqua" w:hAnsi="Book Antiqua"/>
          <w:szCs w:val="22"/>
        </w:rPr>
        <w:t>Quanto al merito, la Sezione remittente ha</w:t>
      </w:r>
      <w:r>
        <w:rPr>
          <w:rFonts w:ascii="Book Antiqua" w:hAnsi="Book Antiqua"/>
          <w:szCs w:val="22"/>
        </w:rPr>
        <w:t xml:space="preserve"> preliminarmente </w:t>
      </w:r>
      <w:r w:rsidR="006860CF">
        <w:rPr>
          <w:rFonts w:ascii="Book Antiqua" w:hAnsi="Book Antiqua"/>
          <w:szCs w:val="22"/>
        </w:rPr>
        <w:t>evidenziato</w:t>
      </w:r>
      <w:r>
        <w:rPr>
          <w:rFonts w:ascii="Book Antiqua" w:hAnsi="Book Antiqua"/>
          <w:szCs w:val="22"/>
        </w:rPr>
        <w:t xml:space="preserve"> che l’art. 208</w:t>
      </w:r>
      <w:r w:rsidR="00C81E6A" w:rsidRPr="00C81E6A">
        <w:t xml:space="preserve"> </w:t>
      </w:r>
      <w:r w:rsidR="00C81E6A">
        <w:rPr>
          <w:rFonts w:ascii="Book Antiqua" w:hAnsi="Book Antiqua"/>
          <w:szCs w:val="22"/>
        </w:rPr>
        <w:t>dispone</w:t>
      </w:r>
      <w:r w:rsidR="00C81E6A" w:rsidRPr="00C81E6A">
        <w:rPr>
          <w:rFonts w:ascii="Book Antiqua" w:hAnsi="Book Antiqua"/>
          <w:szCs w:val="22"/>
        </w:rPr>
        <w:t xml:space="preserve"> che </w:t>
      </w:r>
      <w:bookmarkStart w:id="10" w:name="_Hlk4359325"/>
      <w:r w:rsidR="00C81E6A" w:rsidRPr="00C81E6A">
        <w:rPr>
          <w:rFonts w:ascii="Book Antiqua" w:hAnsi="Book Antiqua"/>
          <w:szCs w:val="22"/>
        </w:rPr>
        <w:t xml:space="preserve">i proventi delle sanzioni amministrative </w:t>
      </w:r>
      <w:bookmarkEnd w:id="10"/>
      <w:r w:rsidR="00C81E6A" w:rsidRPr="00C81E6A">
        <w:rPr>
          <w:rFonts w:ascii="Book Antiqua" w:hAnsi="Book Antiqua"/>
          <w:szCs w:val="22"/>
        </w:rPr>
        <w:t>pecuniarie per le violazioni al Codice della strada</w:t>
      </w:r>
      <w:r w:rsidR="006860CF">
        <w:rPr>
          <w:rFonts w:ascii="Book Antiqua" w:hAnsi="Book Antiqua"/>
          <w:szCs w:val="22"/>
        </w:rPr>
        <w:t>,</w:t>
      </w:r>
      <w:r w:rsidR="00C81E6A" w:rsidRPr="00C81E6A">
        <w:rPr>
          <w:rFonts w:ascii="Book Antiqua" w:hAnsi="Book Antiqua"/>
          <w:szCs w:val="22"/>
        </w:rPr>
        <w:t xml:space="preserve"> devoluti</w:t>
      </w:r>
      <w:r w:rsidR="006860CF">
        <w:rPr>
          <w:rFonts w:ascii="Book Antiqua" w:hAnsi="Book Antiqua"/>
          <w:szCs w:val="22"/>
        </w:rPr>
        <w:t xml:space="preserve"> </w:t>
      </w:r>
      <w:r w:rsidR="00C81E6A" w:rsidRPr="00C81E6A">
        <w:rPr>
          <w:rFonts w:ascii="Book Antiqua" w:hAnsi="Book Antiqua"/>
          <w:szCs w:val="22"/>
        </w:rPr>
        <w:t xml:space="preserve">alle Regioni, alle Province </w:t>
      </w:r>
      <w:r w:rsidR="006860CF">
        <w:rPr>
          <w:rFonts w:ascii="Book Antiqua" w:hAnsi="Book Antiqua"/>
          <w:szCs w:val="22"/>
        </w:rPr>
        <w:t>e</w:t>
      </w:r>
      <w:r w:rsidR="00C81E6A" w:rsidRPr="00C81E6A">
        <w:rPr>
          <w:rFonts w:ascii="Book Antiqua" w:hAnsi="Book Antiqua"/>
          <w:szCs w:val="22"/>
        </w:rPr>
        <w:t xml:space="preserve"> ai Comuni </w:t>
      </w:r>
      <w:r w:rsidR="006860CF">
        <w:rPr>
          <w:rFonts w:ascii="Book Antiqua" w:hAnsi="Book Antiqua"/>
          <w:szCs w:val="22"/>
        </w:rPr>
        <w:t>in ragione</w:t>
      </w:r>
      <w:r w:rsidR="00C81E6A" w:rsidRPr="00C81E6A">
        <w:rPr>
          <w:rFonts w:ascii="Book Antiqua" w:hAnsi="Book Antiqua"/>
          <w:szCs w:val="22"/>
        </w:rPr>
        <w:t xml:space="preserve"> dell’appartenenza dei funzionari, ufficiali ed agenti che hanno accertato le violazioni</w:t>
      </w:r>
      <w:r w:rsidR="006860CF">
        <w:rPr>
          <w:rFonts w:ascii="Book Antiqua" w:hAnsi="Book Antiqua"/>
          <w:szCs w:val="22"/>
        </w:rPr>
        <w:t xml:space="preserve">, siano </w:t>
      </w:r>
      <w:r w:rsidR="00C81E6A" w:rsidRPr="00C81E6A">
        <w:rPr>
          <w:rFonts w:ascii="Book Antiqua" w:hAnsi="Book Antiqua"/>
          <w:szCs w:val="22"/>
        </w:rPr>
        <w:t>destina</w:t>
      </w:r>
      <w:r w:rsidR="006860CF">
        <w:rPr>
          <w:rFonts w:ascii="Book Antiqua" w:hAnsi="Book Antiqua"/>
          <w:szCs w:val="22"/>
        </w:rPr>
        <w:t>ti, per una quota pari a</w:t>
      </w:r>
      <w:r w:rsidR="0092254B">
        <w:rPr>
          <w:rFonts w:ascii="Book Antiqua" w:hAnsi="Book Antiqua"/>
          <w:szCs w:val="22"/>
        </w:rPr>
        <w:t>d almeno il</w:t>
      </w:r>
      <w:r w:rsidR="006860CF">
        <w:rPr>
          <w:rFonts w:ascii="Book Antiqua" w:hAnsi="Book Antiqua"/>
          <w:szCs w:val="22"/>
        </w:rPr>
        <w:t xml:space="preserve"> 50 per cento, alle seguenti</w:t>
      </w:r>
      <w:r w:rsidR="00C81E6A" w:rsidRPr="00C81E6A">
        <w:rPr>
          <w:rFonts w:ascii="Book Antiqua" w:hAnsi="Book Antiqua"/>
          <w:szCs w:val="22"/>
        </w:rPr>
        <w:t xml:space="preserve"> finalità</w:t>
      </w:r>
      <w:r w:rsidR="006860CF">
        <w:rPr>
          <w:rFonts w:ascii="Book Antiqua" w:hAnsi="Book Antiqua"/>
          <w:szCs w:val="22"/>
        </w:rPr>
        <w:t>:</w:t>
      </w:r>
      <w:r w:rsidR="00C81E6A" w:rsidRPr="00C81E6A">
        <w:rPr>
          <w:rFonts w:ascii="Book Antiqua" w:hAnsi="Book Antiqua"/>
          <w:szCs w:val="22"/>
        </w:rPr>
        <w:t xml:space="preserve"> </w:t>
      </w:r>
    </w:p>
    <w:p w14:paraId="3C25F78A" w14:textId="3A2B62C4" w:rsidR="00C81E6A" w:rsidRPr="006860CF" w:rsidRDefault="00C81E6A" w:rsidP="00647FF6">
      <w:pPr>
        <w:pStyle w:val="Paragrafoelenco"/>
        <w:numPr>
          <w:ilvl w:val="0"/>
          <w:numId w:val="33"/>
        </w:numPr>
        <w:spacing w:after="120" w:line="340" w:lineRule="exact"/>
        <w:ind w:left="357" w:hanging="357"/>
        <w:jc w:val="both"/>
        <w:rPr>
          <w:rFonts w:ascii="Book Antiqua" w:hAnsi="Book Antiqua"/>
          <w:szCs w:val="22"/>
        </w:rPr>
      </w:pPr>
      <w:r w:rsidRPr="006860CF">
        <w:rPr>
          <w:rFonts w:ascii="Book Antiqua" w:hAnsi="Book Antiqua"/>
          <w:szCs w:val="22"/>
        </w:rPr>
        <w:t>interventi sulla segnaletica stradale;</w:t>
      </w:r>
    </w:p>
    <w:p w14:paraId="17962BAC" w14:textId="27FCE263" w:rsidR="00C81E6A" w:rsidRPr="006860CF" w:rsidRDefault="00C81E6A" w:rsidP="00647FF6">
      <w:pPr>
        <w:pStyle w:val="Paragrafoelenco"/>
        <w:numPr>
          <w:ilvl w:val="0"/>
          <w:numId w:val="33"/>
        </w:numPr>
        <w:spacing w:after="120" w:line="340" w:lineRule="exact"/>
        <w:ind w:left="357" w:hanging="357"/>
        <w:jc w:val="both"/>
        <w:rPr>
          <w:rFonts w:ascii="Book Antiqua" w:hAnsi="Book Antiqua"/>
          <w:szCs w:val="22"/>
        </w:rPr>
      </w:pPr>
      <w:r w:rsidRPr="006860CF">
        <w:rPr>
          <w:rFonts w:ascii="Book Antiqua" w:hAnsi="Book Antiqua"/>
          <w:szCs w:val="22"/>
        </w:rPr>
        <w:t>potenziamento delle attivit</w:t>
      </w:r>
      <w:r w:rsidR="006860CF" w:rsidRPr="006860CF">
        <w:rPr>
          <w:rFonts w:ascii="Book Antiqua" w:hAnsi="Book Antiqua"/>
          <w:szCs w:val="22"/>
        </w:rPr>
        <w:t>à</w:t>
      </w:r>
      <w:r w:rsidRPr="006860CF">
        <w:rPr>
          <w:rFonts w:ascii="Book Antiqua" w:hAnsi="Book Antiqua"/>
          <w:szCs w:val="22"/>
        </w:rPr>
        <w:t xml:space="preserve"> di controllo e di accertamento delle violazioni in materia di circolazione stradale;</w:t>
      </w:r>
    </w:p>
    <w:p w14:paraId="29D4E2E5" w14:textId="2EF1BFCE" w:rsidR="00410ED1" w:rsidRPr="006860CF" w:rsidRDefault="00C81E6A" w:rsidP="00647FF6">
      <w:pPr>
        <w:pStyle w:val="Paragrafoelenco"/>
        <w:numPr>
          <w:ilvl w:val="0"/>
          <w:numId w:val="33"/>
        </w:numPr>
        <w:spacing w:after="120" w:line="340" w:lineRule="exact"/>
        <w:ind w:left="357" w:hanging="357"/>
        <w:jc w:val="both"/>
        <w:rPr>
          <w:rFonts w:ascii="Book Antiqua" w:hAnsi="Book Antiqua"/>
          <w:szCs w:val="22"/>
        </w:rPr>
      </w:pPr>
      <w:r w:rsidRPr="006860CF">
        <w:rPr>
          <w:rFonts w:ascii="Book Antiqua" w:hAnsi="Book Antiqua"/>
          <w:szCs w:val="22"/>
        </w:rPr>
        <w:t>miglioramento della sicurezza stradale.</w:t>
      </w:r>
    </w:p>
    <w:p w14:paraId="690C3C69" w14:textId="2677B0D1" w:rsidR="0054274F" w:rsidRDefault="0092254B" w:rsidP="006378F0">
      <w:pPr>
        <w:spacing w:after="120" w:line="340" w:lineRule="exact"/>
        <w:ind w:firstLine="0"/>
        <w:jc w:val="both"/>
        <w:rPr>
          <w:rFonts w:ascii="Book Antiqua" w:hAnsi="Book Antiqua"/>
          <w:szCs w:val="22"/>
        </w:rPr>
      </w:pPr>
      <w:r w:rsidRPr="0092254B">
        <w:rPr>
          <w:rFonts w:ascii="Book Antiqua" w:hAnsi="Book Antiqua"/>
          <w:szCs w:val="22"/>
        </w:rPr>
        <w:t xml:space="preserve">Tra le varie </w:t>
      </w:r>
      <w:r>
        <w:rPr>
          <w:rFonts w:ascii="Book Antiqua" w:hAnsi="Book Antiqua"/>
          <w:szCs w:val="22"/>
        </w:rPr>
        <w:t>misure</w:t>
      </w:r>
      <w:r w:rsidRPr="0092254B">
        <w:rPr>
          <w:rFonts w:ascii="Book Antiqua" w:hAnsi="Book Antiqua"/>
          <w:szCs w:val="22"/>
        </w:rPr>
        <w:t xml:space="preserve"> connesse al miglioramento della sicurezza stradale</w:t>
      </w:r>
      <w:r>
        <w:rPr>
          <w:rFonts w:ascii="Book Antiqua" w:hAnsi="Book Antiqua"/>
          <w:szCs w:val="22"/>
        </w:rPr>
        <w:t xml:space="preserve"> la disposiz</w:t>
      </w:r>
      <w:r w:rsidR="00947269">
        <w:rPr>
          <w:rFonts w:ascii="Book Antiqua" w:hAnsi="Book Antiqua"/>
          <w:szCs w:val="22"/>
        </w:rPr>
        <w:t>i</w:t>
      </w:r>
      <w:r>
        <w:rPr>
          <w:rFonts w:ascii="Book Antiqua" w:hAnsi="Book Antiqua"/>
          <w:szCs w:val="22"/>
        </w:rPr>
        <w:t xml:space="preserve">one </w:t>
      </w:r>
      <w:r w:rsidR="00694ED5">
        <w:rPr>
          <w:rFonts w:ascii="Book Antiqua" w:hAnsi="Book Antiqua"/>
          <w:szCs w:val="22"/>
        </w:rPr>
        <w:t>annovera</w:t>
      </w:r>
      <w:r>
        <w:rPr>
          <w:rFonts w:ascii="Book Antiqua" w:hAnsi="Book Antiqua"/>
          <w:szCs w:val="22"/>
        </w:rPr>
        <w:t xml:space="preserve">, al </w:t>
      </w:r>
      <w:r w:rsidRPr="0092254B">
        <w:rPr>
          <w:rFonts w:ascii="Book Antiqua" w:hAnsi="Book Antiqua"/>
          <w:szCs w:val="22"/>
        </w:rPr>
        <w:t>comma 5-</w:t>
      </w:r>
      <w:r w:rsidRPr="00DE147E">
        <w:rPr>
          <w:rFonts w:ascii="Book Antiqua" w:hAnsi="Book Antiqua"/>
          <w:i/>
          <w:szCs w:val="22"/>
        </w:rPr>
        <w:t>bis</w:t>
      </w:r>
      <w:r>
        <w:rPr>
          <w:rFonts w:ascii="Book Antiqua" w:hAnsi="Book Antiqua"/>
          <w:szCs w:val="22"/>
        </w:rPr>
        <w:t xml:space="preserve">, </w:t>
      </w:r>
      <w:r w:rsidR="00694ED5">
        <w:rPr>
          <w:rFonts w:ascii="Book Antiqua" w:hAnsi="Book Antiqua"/>
          <w:szCs w:val="22"/>
        </w:rPr>
        <w:t xml:space="preserve">anche </w:t>
      </w:r>
      <w:r>
        <w:rPr>
          <w:rFonts w:ascii="Book Antiqua" w:hAnsi="Book Antiqua"/>
          <w:szCs w:val="22"/>
        </w:rPr>
        <w:t>i “</w:t>
      </w:r>
      <w:r w:rsidRPr="00DE147E">
        <w:rPr>
          <w:rFonts w:ascii="Book Antiqua" w:hAnsi="Book Antiqua"/>
          <w:i/>
          <w:szCs w:val="22"/>
        </w:rPr>
        <w:t>progetti di potenziamento dei servizi di controllo finalizzati alla sicurezza urbana e alla sicurezza stradale</w:t>
      </w:r>
      <w:r w:rsidRPr="0092254B">
        <w:rPr>
          <w:rFonts w:ascii="Book Antiqua" w:hAnsi="Book Antiqua"/>
          <w:szCs w:val="22"/>
        </w:rPr>
        <w:t>”</w:t>
      </w:r>
      <w:r w:rsidR="00DE147E">
        <w:rPr>
          <w:rFonts w:ascii="Book Antiqua" w:hAnsi="Book Antiqua"/>
          <w:szCs w:val="22"/>
        </w:rPr>
        <w:t xml:space="preserve">, senza tuttavia chiarire se, ed eventualmente </w:t>
      </w:r>
      <w:r w:rsidR="00057E2C">
        <w:rPr>
          <w:rFonts w:ascii="Book Antiqua" w:hAnsi="Book Antiqua"/>
          <w:szCs w:val="22"/>
        </w:rPr>
        <w:t>in che modo</w:t>
      </w:r>
      <w:r w:rsidR="00DE147E">
        <w:rPr>
          <w:rFonts w:ascii="Book Antiqua" w:hAnsi="Book Antiqua"/>
          <w:szCs w:val="22"/>
        </w:rPr>
        <w:t xml:space="preserve">, il loro finanziamento possa essere utilizzato per remunerare le prestazioni del personale </w:t>
      </w:r>
      <w:r w:rsidR="00694ED5">
        <w:rPr>
          <w:rFonts w:ascii="Book Antiqua" w:hAnsi="Book Antiqua"/>
          <w:szCs w:val="22"/>
        </w:rPr>
        <w:t xml:space="preserve">addetto ai servizi </w:t>
      </w:r>
      <w:r w:rsidR="00DE147E">
        <w:rPr>
          <w:rFonts w:ascii="Book Antiqua" w:hAnsi="Book Antiqua"/>
          <w:szCs w:val="22"/>
        </w:rPr>
        <w:t>d</w:t>
      </w:r>
      <w:r w:rsidR="00694ED5">
        <w:rPr>
          <w:rFonts w:ascii="Book Antiqua" w:hAnsi="Book Antiqua"/>
          <w:szCs w:val="22"/>
        </w:rPr>
        <w:t>i</w:t>
      </w:r>
      <w:r w:rsidR="00DE147E">
        <w:rPr>
          <w:rFonts w:ascii="Book Antiqua" w:hAnsi="Book Antiqua"/>
          <w:szCs w:val="22"/>
        </w:rPr>
        <w:t xml:space="preserve"> polizia locale.</w:t>
      </w:r>
    </w:p>
    <w:p w14:paraId="1F929DFE" w14:textId="17820BF2" w:rsidR="00BF6BF1" w:rsidRPr="00BF6BF1" w:rsidRDefault="00BF6BF1" w:rsidP="00BF6BF1">
      <w:pPr>
        <w:spacing w:after="120" w:line="340" w:lineRule="exact"/>
        <w:ind w:firstLine="0"/>
        <w:jc w:val="both"/>
        <w:rPr>
          <w:rFonts w:ascii="Book Antiqua" w:hAnsi="Book Antiqua"/>
          <w:szCs w:val="22"/>
        </w:rPr>
      </w:pPr>
      <w:r>
        <w:rPr>
          <w:rFonts w:ascii="Book Antiqua" w:hAnsi="Book Antiqua"/>
          <w:szCs w:val="22"/>
        </w:rPr>
        <w:lastRenderedPageBreak/>
        <w:t>Il dubbio interpretativo posto dal Comune istante sembrerebbe trovare una risposta nel</w:t>
      </w:r>
      <w:r w:rsidR="00FF2E12">
        <w:rPr>
          <w:rFonts w:ascii="Book Antiqua" w:hAnsi="Book Antiqua"/>
          <w:szCs w:val="22"/>
        </w:rPr>
        <w:t xml:space="preserve"> citato art. 56-</w:t>
      </w:r>
      <w:r w:rsidR="00FF2E12" w:rsidRPr="00FF2E12">
        <w:rPr>
          <w:rFonts w:ascii="Book Antiqua" w:hAnsi="Book Antiqua"/>
          <w:i/>
          <w:szCs w:val="22"/>
        </w:rPr>
        <w:t>quater</w:t>
      </w:r>
      <w:r w:rsidR="00FF2E12">
        <w:rPr>
          <w:rFonts w:ascii="Book Antiqua" w:hAnsi="Book Antiqua"/>
          <w:szCs w:val="22"/>
        </w:rPr>
        <w:t xml:space="preserve"> del </w:t>
      </w:r>
      <w:r>
        <w:rPr>
          <w:rFonts w:ascii="Book Antiqua" w:hAnsi="Book Antiqua"/>
          <w:szCs w:val="22"/>
        </w:rPr>
        <w:t xml:space="preserve">CCNL </w:t>
      </w:r>
      <w:r w:rsidRPr="00BF6BF1">
        <w:rPr>
          <w:rFonts w:ascii="Book Antiqua" w:hAnsi="Book Antiqua"/>
          <w:szCs w:val="22"/>
        </w:rPr>
        <w:t>del 21 maggio 2018</w:t>
      </w:r>
      <w:r>
        <w:rPr>
          <w:rFonts w:ascii="Book Antiqua" w:hAnsi="Book Antiqua"/>
          <w:szCs w:val="22"/>
        </w:rPr>
        <w:t xml:space="preserve">, </w:t>
      </w:r>
      <w:r w:rsidR="00FF2E12">
        <w:rPr>
          <w:rFonts w:ascii="Book Antiqua" w:hAnsi="Book Antiqua"/>
          <w:szCs w:val="22"/>
        </w:rPr>
        <w:t>il quale</w:t>
      </w:r>
      <w:r>
        <w:rPr>
          <w:rFonts w:ascii="Book Antiqua" w:hAnsi="Book Antiqua"/>
          <w:szCs w:val="22"/>
        </w:rPr>
        <w:t xml:space="preserve"> chiarisce</w:t>
      </w:r>
      <w:r w:rsidRPr="00BF6BF1">
        <w:t xml:space="preserve"> </w:t>
      </w:r>
      <w:r w:rsidR="00FF2E12">
        <w:rPr>
          <w:rFonts w:ascii="Book Antiqua" w:hAnsi="Book Antiqua"/>
          <w:szCs w:val="22"/>
        </w:rPr>
        <w:t>che</w:t>
      </w:r>
      <w:r w:rsidRPr="00BF6BF1">
        <w:rPr>
          <w:rFonts w:ascii="Book Antiqua" w:hAnsi="Book Antiqua"/>
          <w:szCs w:val="22"/>
        </w:rPr>
        <w:t xml:space="preserve">, in coerenza con le finalità legislative, </w:t>
      </w:r>
      <w:r w:rsidR="00FF2E12" w:rsidRPr="00FF2E12">
        <w:rPr>
          <w:rFonts w:ascii="Book Antiqua" w:hAnsi="Book Antiqua"/>
          <w:szCs w:val="22"/>
        </w:rPr>
        <w:t xml:space="preserve">i </w:t>
      </w:r>
      <w:r w:rsidR="00FF2E12">
        <w:rPr>
          <w:rFonts w:ascii="Book Antiqua" w:hAnsi="Book Antiqua"/>
          <w:szCs w:val="22"/>
        </w:rPr>
        <w:t xml:space="preserve">predetti </w:t>
      </w:r>
      <w:r w:rsidR="00FF2E12" w:rsidRPr="00FF2E12">
        <w:rPr>
          <w:rFonts w:ascii="Book Antiqua" w:hAnsi="Book Antiqua"/>
          <w:szCs w:val="22"/>
        </w:rPr>
        <w:t xml:space="preserve">proventi delle sanzioni amministrative </w:t>
      </w:r>
      <w:r w:rsidR="00FF2E12">
        <w:rPr>
          <w:rFonts w:ascii="Book Antiqua" w:hAnsi="Book Antiqua"/>
          <w:szCs w:val="22"/>
        </w:rPr>
        <w:t xml:space="preserve">possono essere utilizzati </w:t>
      </w:r>
      <w:r w:rsidR="00FF2E12" w:rsidRPr="00BF6BF1">
        <w:rPr>
          <w:rFonts w:ascii="Book Antiqua" w:hAnsi="Book Antiqua"/>
          <w:szCs w:val="22"/>
        </w:rPr>
        <w:t>in favore del personale d</w:t>
      </w:r>
      <w:r w:rsidR="00FF2E12">
        <w:rPr>
          <w:rFonts w:ascii="Book Antiqua" w:hAnsi="Book Antiqua"/>
          <w:szCs w:val="22"/>
        </w:rPr>
        <w:t>ella</w:t>
      </w:r>
      <w:r w:rsidR="00FF2E12" w:rsidRPr="00BF6BF1">
        <w:rPr>
          <w:rFonts w:ascii="Book Antiqua" w:hAnsi="Book Antiqua"/>
          <w:szCs w:val="22"/>
        </w:rPr>
        <w:t xml:space="preserve"> polizia locale </w:t>
      </w:r>
      <w:r w:rsidR="00FF2E12">
        <w:rPr>
          <w:rFonts w:ascii="Book Antiqua" w:hAnsi="Book Antiqua"/>
          <w:szCs w:val="22"/>
        </w:rPr>
        <w:t xml:space="preserve">per le seguenti </w:t>
      </w:r>
      <w:r w:rsidRPr="00BF6BF1">
        <w:rPr>
          <w:rFonts w:ascii="Book Antiqua" w:hAnsi="Book Antiqua"/>
          <w:szCs w:val="22"/>
        </w:rPr>
        <w:t>destina</w:t>
      </w:r>
      <w:r w:rsidR="00FF2E12">
        <w:rPr>
          <w:rFonts w:ascii="Book Antiqua" w:hAnsi="Book Antiqua"/>
          <w:szCs w:val="22"/>
        </w:rPr>
        <w:t>zioni</w:t>
      </w:r>
      <w:r w:rsidRPr="00BF6BF1">
        <w:rPr>
          <w:rFonts w:ascii="Book Antiqua" w:hAnsi="Book Antiqua"/>
          <w:szCs w:val="22"/>
        </w:rPr>
        <w:t xml:space="preserve">: </w:t>
      </w:r>
    </w:p>
    <w:p w14:paraId="56C3E64C" w14:textId="4D6204BC" w:rsidR="00BF6BF1" w:rsidRPr="00FF2E12" w:rsidRDefault="00BF6BF1" w:rsidP="00647FF6">
      <w:pPr>
        <w:pStyle w:val="Paragrafoelenco"/>
        <w:numPr>
          <w:ilvl w:val="0"/>
          <w:numId w:val="35"/>
        </w:numPr>
        <w:spacing w:after="120" w:line="340" w:lineRule="exact"/>
        <w:ind w:left="357" w:hanging="357"/>
        <w:jc w:val="both"/>
        <w:rPr>
          <w:rFonts w:ascii="Book Antiqua" w:hAnsi="Book Antiqua"/>
          <w:szCs w:val="22"/>
        </w:rPr>
      </w:pPr>
      <w:r w:rsidRPr="00FF2E12">
        <w:rPr>
          <w:rFonts w:ascii="Book Antiqua" w:hAnsi="Book Antiqua"/>
          <w:szCs w:val="22"/>
        </w:rPr>
        <w:t>forme contributive previdenziali;</w:t>
      </w:r>
    </w:p>
    <w:p w14:paraId="3466E753" w14:textId="57837E76" w:rsidR="00BF6BF1" w:rsidRPr="00FF2E12" w:rsidRDefault="00BF6BF1" w:rsidP="00647FF6">
      <w:pPr>
        <w:pStyle w:val="Paragrafoelenco"/>
        <w:numPr>
          <w:ilvl w:val="0"/>
          <w:numId w:val="35"/>
        </w:numPr>
        <w:spacing w:after="120" w:line="340" w:lineRule="exact"/>
        <w:ind w:left="357" w:hanging="357"/>
        <w:jc w:val="both"/>
        <w:rPr>
          <w:rFonts w:ascii="Book Antiqua" w:hAnsi="Book Antiqua"/>
          <w:szCs w:val="22"/>
        </w:rPr>
      </w:pPr>
      <w:r w:rsidRPr="00FF2E12">
        <w:rPr>
          <w:rFonts w:ascii="Book Antiqua" w:hAnsi="Book Antiqua"/>
          <w:szCs w:val="22"/>
        </w:rPr>
        <w:t>forme contributive di carattere assistenziale;</w:t>
      </w:r>
    </w:p>
    <w:p w14:paraId="7C2934BB" w14:textId="11F226BD" w:rsidR="0054274F" w:rsidRPr="00FF2E12" w:rsidRDefault="00BF6BF1" w:rsidP="00647FF6">
      <w:pPr>
        <w:pStyle w:val="Paragrafoelenco"/>
        <w:numPr>
          <w:ilvl w:val="0"/>
          <w:numId w:val="35"/>
        </w:numPr>
        <w:spacing w:after="120" w:line="340" w:lineRule="exact"/>
        <w:ind w:left="357" w:hanging="357"/>
        <w:jc w:val="both"/>
        <w:rPr>
          <w:rFonts w:ascii="Book Antiqua" w:hAnsi="Book Antiqua"/>
          <w:szCs w:val="22"/>
        </w:rPr>
      </w:pPr>
      <w:r w:rsidRPr="00FF2E12">
        <w:rPr>
          <w:rFonts w:ascii="Book Antiqua" w:hAnsi="Book Antiqua"/>
          <w:szCs w:val="22"/>
        </w:rPr>
        <w:t>incentivi monetari collegati a obiettivi di potenziamento dei servizi di controllo finalizzati alla sicurezza urbana e stradale.</w:t>
      </w:r>
    </w:p>
    <w:p w14:paraId="40B573D4" w14:textId="436A5667" w:rsidR="0054274F" w:rsidRDefault="004518E0" w:rsidP="006378F0">
      <w:pPr>
        <w:spacing w:after="120" w:line="340" w:lineRule="exact"/>
        <w:ind w:firstLine="0"/>
        <w:jc w:val="both"/>
        <w:rPr>
          <w:rFonts w:ascii="Book Antiqua" w:hAnsi="Book Antiqua"/>
          <w:szCs w:val="22"/>
        </w:rPr>
      </w:pPr>
      <w:r>
        <w:rPr>
          <w:rFonts w:ascii="Book Antiqua" w:hAnsi="Book Antiqua"/>
          <w:szCs w:val="22"/>
        </w:rPr>
        <w:t>Con</w:t>
      </w:r>
      <w:r w:rsidR="00647FF6">
        <w:rPr>
          <w:rFonts w:ascii="Book Antiqua" w:hAnsi="Book Antiqua"/>
          <w:szCs w:val="22"/>
        </w:rPr>
        <w:t xml:space="preserve"> </w:t>
      </w:r>
      <w:r w:rsidR="00647FF6" w:rsidRPr="00647FF6">
        <w:rPr>
          <w:rFonts w:ascii="Book Antiqua" w:hAnsi="Book Antiqua"/>
          <w:szCs w:val="22"/>
        </w:rPr>
        <w:t>riguardo</w:t>
      </w:r>
      <w:r w:rsidR="001D117E">
        <w:rPr>
          <w:rFonts w:ascii="Book Antiqua" w:hAnsi="Book Antiqua"/>
          <w:szCs w:val="22"/>
        </w:rPr>
        <w:t xml:space="preserve"> a quest’ultima destinazione</w:t>
      </w:r>
      <w:r w:rsidR="00647FF6" w:rsidRPr="00647FF6">
        <w:rPr>
          <w:rFonts w:ascii="Book Antiqua" w:hAnsi="Book Antiqua"/>
          <w:szCs w:val="22"/>
        </w:rPr>
        <w:t>, l</w:t>
      </w:r>
      <w:r w:rsidR="00FF2E12" w:rsidRPr="00647FF6">
        <w:rPr>
          <w:rFonts w:ascii="Book Antiqua" w:hAnsi="Book Antiqua"/>
          <w:szCs w:val="22"/>
        </w:rPr>
        <w:t>a generica espressione “</w:t>
      </w:r>
      <w:r w:rsidR="00FF2E12" w:rsidRPr="00647FF6">
        <w:rPr>
          <w:rFonts w:ascii="Book Antiqua" w:hAnsi="Book Antiqua"/>
          <w:i/>
          <w:szCs w:val="22"/>
        </w:rPr>
        <w:t>incentivi monetari</w:t>
      </w:r>
      <w:r w:rsidR="00FF2E12" w:rsidRPr="00647FF6">
        <w:rPr>
          <w:rFonts w:ascii="Book Antiqua" w:hAnsi="Book Antiqua"/>
          <w:szCs w:val="22"/>
        </w:rPr>
        <w:t>” troverebbe maggiore concretizzazione nel successivo art. 67,</w:t>
      </w:r>
      <w:r w:rsidR="00FF2E12" w:rsidRPr="00647FF6">
        <w:rPr>
          <w:rFonts w:ascii="Book Antiqua" w:hAnsi="Book Antiqua"/>
        </w:rPr>
        <w:t xml:space="preserve"> </w:t>
      </w:r>
      <w:r w:rsidR="00D23B90" w:rsidRPr="00647FF6">
        <w:rPr>
          <w:rFonts w:ascii="Book Antiqua" w:hAnsi="Book Antiqua"/>
        </w:rPr>
        <w:t>c</w:t>
      </w:r>
      <w:r w:rsidR="00E84504" w:rsidRPr="00647FF6">
        <w:rPr>
          <w:rFonts w:ascii="Book Antiqua" w:hAnsi="Book Antiqua"/>
        </w:rPr>
        <w:t>he al c</w:t>
      </w:r>
      <w:r w:rsidR="00D23B90" w:rsidRPr="00647FF6">
        <w:rPr>
          <w:rFonts w:ascii="Book Antiqua" w:hAnsi="Book Antiqua"/>
        </w:rPr>
        <w:t xml:space="preserve">omma 3, </w:t>
      </w:r>
      <w:r w:rsidR="00FF2E12" w:rsidRPr="00647FF6">
        <w:rPr>
          <w:rFonts w:ascii="Book Antiqua" w:hAnsi="Book Antiqua"/>
          <w:szCs w:val="22"/>
        </w:rPr>
        <w:t>nell’individuare le risorse che alimentano la componente variabile del “Fondo risorse decentrate”, include alla lett. i) (mediante rinvio al successivo comma</w:t>
      </w:r>
      <w:r w:rsidR="00FF2E12" w:rsidRPr="00FF2E12">
        <w:rPr>
          <w:rFonts w:ascii="Book Antiqua" w:hAnsi="Book Antiqua"/>
          <w:szCs w:val="22"/>
        </w:rPr>
        <w:t xml:space="preserve"> 5) anche le risorse di cui al menzionato art. 56-</w:t>
      </w:r>
      <w:r w:rsidR="00FF2E12" w:rsidRPr="00E84504">
        <w:rPr>
          <w:rFonts w:ascii="Book Antiqua" w:hAnsi="Book Antiqua"/>
          <w:i/>
          <w:szCs w:val="22"/>
        </w:rPr>
        <w:t>quater</w:t>
      </w:r>
      <w:r w:rsidR="00E84504">
        <w:rPr>
          <w:rFonts w:ascii="Book Antiqua" w:hAnsi="Book Antiqua"/>
          <w:szCs w:val="22"/>
        </w:rPr>
        <w:t>.</w:t>
      </w:r>
    </w:p>
    <w:p w14:paraId="66C1D1A1" w14:textId="5C9897CF" w:rsidR="00E84504" w:rsidRDefault="00E84504" w:rsidP="006378F0">
      <w:pPr>
        <w:spacing w:after="120" w:line="340" w:lineRule="exact"/>
        <w:ind w:firstLine="0"/>
        <w:jc w:val="both"/>
        <w:rPr>
          <w:rFonts w:ascii="Book Antiqua" w:hAnsi="Book Antiqua"/>
          <w:szCs w:val="22"/>
        </w:rPr>
      </w:pPr>
      <w:r>
        <w:rPr>
          <w:rFonts w:ascii="Book Antiqua" w:hAnsi="Book Antiqua"/>
          <w:szCs w:val="22"/>
        </w:rPr>
        <w:t>Pertanto, facendo proprie le argomentazioni esposte nell’istanza di parere, la Sezione di controllo per la Lombardia ha riformulato il primo quesito</w:t>
      </w:r>
      <w:r w:rsidR="00740625">
        <w:rPr>
          <w:rFonts w:ascii="Book Antiqua" w:hAnsi="Book Antiqua"/>
          <w:szCs w:val="22"/>
        </w:rPr>
        <w:t xml:space="preserve"> nel</w:t>
      </w:r>
      <w:bookmarkStart w:id="11" w:name="_Hlk4836969"/>
      <w:r w:rsidR="00740625">
        <w:rPr>
          <w:rFonts w:ascii="Book Antiqua" w:hAnsi="Book Antiqua"/>
          <w:szCs w:val="22"/>
        </w:rPr>
        <w:t>la seguente questione interpretativa di rilevanza generale:</w:t>
      </w:r>
    </w:p>
    <w:bookmarkEnd w:id="11"/>
    <w:p w14:paraId="6504C0DB" w14:textId="5DE9BA40" w:rsidR="00740625" w:rsidRDefault="007B2765" w:rsidP="006378F0">
      <w:pPr>
        <w:spacing w:after="120" w:line="340" w:lineRule="exact"/>
        <w:ind w:firstLine="0"/>
        <w:jc w:val="both"/>
        <w:rPr>
          <w:rFonts w:ascii="Book Antiqua" w:hAnsi="Book Antiqua"/>
          <w:szCs w:val="22"/>
        </w:rPr>
      </w:pPr>
      <w:r>
        <w:rPr>
          <w:rFonts w:ascii="Book Antiqua" w:hAnsi="Book Antiqua"/>
          <w:szCs w:val="22"/>
        </w:rPr>
        <w:t>«</w:t>
      </w:r>
      <w:r w:rsidR="00740625" w:rsidRPr="00740625">
        <w:rPr>
          <w:rFonts w:ascii="Book Antiqua" w:hAnsi="Book Antiqua"/>
          <w:i/>
          <w:szCs w:val="22"/>
        </w:rPr>
        <w:t>se le risorse aventi copertura in quota percentuale delle sanzioni amministrative per violazioni al codice della strada (art. 208, commi 4, lett. c), e 5-bis, del d.lgs. n. 285 del 1992) possano essere destinate solo all’incremento dell’annuale “fondo risorse decentrate”, per il finanziamento di progetti di potenziamento di servizi di controllo finalizzati alla sicurezza urbana e stradale (art. 67, comma 5, lett. b), e 56-quater, CCNL Funzioni locali 21 maggio 2018) o anche, in alternativa, all’incremento del fondo per il lavoro straordinario, dato il tenore letterale dell’art. 14, comma 2, del CCNL Enti locali 1° aprile 1999, che consente l’integrazione di quest’ultimo per effetto di specifiche disposizioni di legge</w:t>
      </w:r>
      <w:r w:rsidR="00072A71">
        <w:rPr>
          <w:rFonts w:ascii="Book Antiqua" w:hAnsi="Book Antiqua"/>
          <w:szCs w:val="22"/>
        </w:rPr>
        <w:t>»</w:t>
      </w:r>
      <w:r w:rsidR="00740625" w:rsidRPr="00740625">
        <w:rPr>
          <w:rFonts w:ascii="Book Antiqua" w:hAnsi="Book Antiqua"/>
          <w:szCs w:val="22"/>
        </w:rPr>
        <w:t>.</w:t>
      </w:r>
    </w:p>
    <w:p w14:paraId="1176DC72" w14:textId="1852A297" w:rsidR="00740625" w:rsidRDefault="00647FF6" w:rsidP="006378F0">
      <w:pPr>
        <w:spacing w:after="120" w:line="340" w:lineRule="exact"/>
        <w:ind w:firstLine="0"/>
        <w:jc w:val="both"/>
        <w:rPr>
          <w:rFonts w:ascii="Book Antiqua" w:hAnsi="Book Antiqua"/>
          <w:szCs w:val="22"/>
        </w:rPr>
      </w:pPr>
      <w:r>
        <w:rPr>
          <w:rFonts w:ascii="Book Antiqua" w:hAnsi="Book Antiqua"/>
          <w:szCs w:val="22"/>
        </w:rPr>
        <w:t>Con riferimento al secondo quesito</w:t>
      </w:r>
      <w:r w:rsidR="005026CC">
        <w:rPr>
          <w:rFonts w:ascii="Book Antiqua" w:hAnsi="Book Antiqua"/>
          <w:szCs w:val="22"/>
        </w:rPr>
        <w:t xml:space="preserve"> del </w:t>
      </w:r>
      <w:r w:rsidR="001D117E">
        <w:rPr>
          <w:rFonts w:ascii="Book Antiqua" w:hAnsi="Book Antiqua"/>
          <w:szCs w:val="22"/>
        </w:rPr>
        <w:t>Sindaco</w:t>
      </w:r>
      <w:r w:rsidR="005026CC">
        <w:rPr>
          <w:rFonts w:ascii="Book Antiqua" w:hAnsi="Book Antiqua"/>
          <w:szCs w:val="22"/>
        </w:rPr>
        <w:t xml:space="preserve"> </w:t>
      </w:r>
      <w:r w:rsidR="00D76814">
        <w:rPr>
          <w:rFonts w:ascii="Book Antiqua" w:hAnsi="Book Antiqua"/>
          <w:szCs w:val="22"/>
        </w:rPr>
        <w:t>di Milano</w:t>
      </w:r>
      <w:r>
        <w:rPr>
          <w:rFonts w:ascii="Book Antiqua" w:hAnsi="Book Antiqua"/>
          <w:szCs w:val="22"/>
        </w:rPr>
        <w:t>,</w:t>
      </w:r>
      <w:r w:rsidR="005026CC">
        <w:rPr>
          <w:rFonts w:ascii="Book Antiqua" w:hAnsi="Book Antiqua"/>
          <w:szCs w:val="22"/>
        </w:rPr>
        <w:t xml:space="preserve"> la Sezione ha osservato come il limite annuale al complessivo trattamento economico accessorio, posto dall’art. 23, comma 2, del d.lgs. n. 75/2017, sia stato oggetto di interpretazion</w:t>
      </w:r>
      <w:r w:rsidR="00D76814">
        <w:rPr>
          <w:rFonts w:ascii="Book Antiqua" w:hAnsi="Book Antiqua"/>
          <w:szCs w:val="22"/>
        </w:rPr>
        <w:t>i</w:t>
      </w:r>
      <w:r w:rsidR="005026CC">
        <w:rPr>
          <w:rFonts w:ascii="Book Antiqua" w:hAnsi="Book Antiqua"/>
          <w:szCs w:val="22"/>
        </w:rPr>
        <w:t xml:space="preserve"> funzional</w:t>
      </w:r>
      <w:r w:rsidR="00D76814">
        <w:rPr>
          <w:rFonts w:ascii="Book Antiqua" w:hAnsi="Book Antiqua"/>
          <w:szCs w:val="22"/>
        </w:rPr>
        <w:t>i</w:t>
      </w:r>
      <w:r w:rsidR="005026CC">
        <w:rPr>
          <w:rFonts w:ascii="Book Antiqua" w:hAnsi="Book Antiqua"/>
          <w:szCs w:val="22"/>
        </w:rPr>
        <w:t xml:space="preserve"> da parte della magistratura contabile, </w:t>
      </w:r>
      <w:r w:rsidR="00D76814">
        <w:rPr>
          <w:rFonts w:ascii="Book Antiqua" w:hAnsi="Book Antiqua"/>
          <w:szCs w:val="22"/>
        </w:rPr>
        <w:t>che</w:t>
      </w:r>
      <w:r w:rsidR="005026CC">
        <w:rPr>
          <w:rFonts w:ascii="Book Antiqua" w:hAnsi="Book Antiqua"/>
          <w:szCs w:val="22"/>
        </w:rPr>
        <w:t xml:space="preserve"> ha individuato in via pretoria varie eccezioni all’ambito applicativo del precetto.</w:t>
      </w:r>
    </w:p>
    <w:p w14:paraId="0D10C706" w14:textId="1889BA06" w:rsidR="00002D36" w:rsidRDefault="00002D36" w:rsidP="006378F0">
      <w:pPr>
        <w:spacing w:after="120" w:line="340" w:lineRule="exact"/>
        <w:ind w:firstLine="0"/>
        <w:jc w:val="both"/>
        <w:rPr>
          <w:rFonts w:ascii="Book Antiqua" w:hAnsi="Book Antiqua"/>
          <w:szCs w:val="22"/>
        </w:rPr>
      </w:pPr>
      <w:r>
        <w:rPr>
          <w:rFonts w:ascii="Book Antiqua" w:hAnsi="Book Antiqua"/>
          <w:szCs w:val="22"/>
        </w:rPr>
        <w:t>Dopo averne ricondotto l’ampia casistica a tre macro-categorie, la Sezione ha riscontrato nella fattispecie oggetto di dubbi interpretativi da parte del Comune istante</w:t>
      </w:r>
      <w:r w:rsidR="003E094F">
        <w:rPr>
          <w:rFonts w:ascii="Book Antiqua" w:hAnsi="Book Antiqua"/>
          <w:szCs w:val="22"/>
        </w:rPr>
        <w:t xml:space="preserve"> analoga </w:t>
      </w:r>
      <w:r w:rsidR="003E094F" w:rsidRPr="00D76814">
        <w:rPr>
          <w:rFonts w:ascii="Book Antiqua" w:hAnsi="Book Antiqua"/>
          <w:i/>
          <w:szCs w:val="22"/>
        </w:rPr>
        <w:t>ratio</w:t>
      </w:r>
      <w:r w:rsidR="003E094F">
        <w:rPr>
          <w:rFonts w:ascii="Book Antiqua" w:hAnsi="Book Antiqua"/>
          <w:szCs w:val="22"/>
        </w:rPr>
        <w:t xml:space="preserve"> e presupposti similari a quelli che hanno motivato i pronunciamenti nomofilattici delle Sezioni riunite </w:t>
      </w:r>
      <w:r w:rsidR="001D117E">
        <w:rPr>
          <w:rFonts w:ascii="Book Antiqua" w:hAnsi="Book Antiqua"/>
          <w:szCs w:val="22"/>
        </w:rPr>
        <w:t xml:space="preserve">della Corte dei conti </w:t>
      </w:r>
      <w:r w:rsidR="003E094F">
        <w:rPr>
          <w:rFonts w:ascii="Book Antiqua" w:hAnsi="Book Antiqua"/>
          <w:szCs w:val="22"/>
        </w:rPr>
        <w:t>e della Sezione delle autonomie.</w:t>
      </w:r>
    </w:p>
    <w:p w14:paraId="6147CF4C" w14:textId="72DD15A4" w:rsidR="00C61748" w:rsidRDefault="0046626B" w:rsidP="006378F0">
      <w:pPr>
        <w:spacing w:after="120" w:line="340" w:lineRule="exact"/>
        <w:ind w:firstLine="0"/>
        <w:jc w:val="both"/>
        <w:rPr>
          <w:rFonts w:ascii="Book Antiqua" w:hAnsi="Book Antiqua"/>
          <w:szCs w:val="22"/>
        </w:rPr>
      </w:pPr>
      <w:r>
        <w:rPr>
          <w:rFonts w:ascii="Book Antiqua" w:hAnsi="Book Antiqua"/>
          <w:szCs w:val="22"/>
        </w:rPr>
        <w:t>Sicché, i</w:t>
      </w:r>
      <w:r w:rsidR="00D76814" w:rsidRPr="00D76814">
        <w:rPr>
          <w:rFonts w:ascii="Book Antiqua" w:hAnsi="Book Antiqua"/>
          <w:szCs w:val="22"/>
        </w:rPr>
        <w:t xml:space="preserve"> </w:t>
      </w:r>
      <w:r w:rsidR="00C61748">
        <w:rPr>
          <w:rFonts w:ascii="Book Antiqua" w:hAnsi="Book Antiqua"/>
          <w:szCs w:val="22"/>
        </w:rPr>
        <w:t>compensi</w:t>
      </w:r>
      <w:r w:rsidRPr="0046626B">
        <w:rPr>
          <w:rFonts w:ascii="Book Antiqua" w:hAnsi="Book Antiqua"/>
          <w:szCs w:val="22"/>
        </w:rPr>
        <w:t xml:space="preserve"> </w:t>
      </w:r>
      <w:r>
        <w:rPr>
          <w:rFonts w:ascii="Book Antiqua" w:hAnsi="Book Antiqua"/>
          <w:szCs w:val="22"/>
        </w:rPr>
        <w:t xml:space="preserve">accessori per i </w:t>
      </w:r>
      <w:r w:rsidRPr="00D76814">
        <w:rPr>
          <w:rFonts w:ascii="Book Antiqua" w:hAnsi="Book Antiqua"/>
          <w:szCs w:val="22"/>
        </w:rPr>
        <w:t>predetti</w:t>
      </w:r>
      <w:r>
        <w:rPr>
          <w:rFonts w:ascii="Book Antiqua" w:hAnsi="Book Antiqua"/>
          <w:szCs w:val="22"/>
        </w:rPr>
        <w:t xml:space="preserve"> progetti di potenziamento dei servizi di controllo</w:t>
      </w:r>
      <w:r w:rsidR="00741399">
        <w:rPr>
          <w:rFonts w:ascii="Book Antiqua" w:hAnsi="Book Antiqua"/>
          <w:szCs w:val="22"/>
        </w:rPr>
        <w:t>,</w:t>
      </w:r>
      <w:r w:rsidR="00C61748">
        <w:rPr>
          <w:rFonts w:ascii="Book Antiqua" w:hAnsi="Book Antiqua"/>
          <w:szCs w:val="22"/>
        </w:rPr>
        <w:t xml:space="preserve"> aventi copertura in quota parte delle sanzioni amministrative per violazioni al Codice della strada</w:t>
      </w:r>
      <w:r w:rsidR="00D76814" w:rsidRPr="00D76814">
        <w:rPr>
          <w:rFonts w:ascii="Book Antiqua" w:hAnsi="Book Antiqua"/>
          <w:szCs w:val="22"/>
        </w:rPr>
        <w:t xml:space="preserve">, oltre a essere previsti da una disposizione di legge speciale che richiede un impegno aggiuntivo al personale (programmato e misurabile), graverebbero su risorse autonome, </w:t>
      </w:r>
      <w:r w:rsidR="00D76814" w:rsidRPr="00D76814">
        <w:rPr>
          <w:rFonts w:ascii="Book Antiqua" w:hAnsi="Book Antiqua"/>
          <w:szCs w:val="22"/>
        </w:rPr>
        <w:lastRenderedPageBreak/>
        <w:t xml:space="preserve">predeterminate e vincolate del bilancio, </w:t>
      </w:r>
      <w:r w:rsidR="00C61748">
        <w:rPr>
          <w:rFonts w:ascii="Book Antiqua" w:hAnsi="Book Antiqua"/>
          <w:szCs w:val="22"/>
        </w:rPr>
        <w:t xml:space="preserve">che </w:t>
      </w:r>
      <w:r w:rsidR="00D76814" w:rsidRPr="00D76814">
        <w:rPr>
          <w:rFonts w:ascii="Book Antiqua" w:hAnsi="Book Antiqua"/>
          <w:szCs w:val="22"/>
        </w:rPr>
        <w:t>individuano, altresì, un limite finanziario massimo tale da impedire l’incontrollata espansione</w:t>
      </w:r>
      <w:r w:rsidR="00C50A9D">
        <w:rPr>
          <w:rFonts w:ascii="Book Antiqua" w:hAnsi="Book Antiqua"/>
          <w:szCs w:val="22"/>
        </w:rPr>
        <w:t xml:space="preserve"> della spesa</w:t>
      </w:r>
      <w:r w:rsidR="00D76814" w:rsidRPr="00D76814">
        <w:rPr>
          <w:rFonts w:ascii="Book Antiqua" w:hAnsi="Book Antiqua"/>
          <w:szCs w:val="22"/>
        </w:rPr>
        <w:t xml:space="preserve">. </w:t>
      </w:r>
    </w:p>
    <w:p w14:paraId="7E777D94" w14:textId="10F9ED82" w:rsidR="00740625" w:rsidRDefault="00C61748" w:rsidP="006378F0">
      <w:pPr>
        <w:spacing w:after="120" w:line="340" w:lineRule="exact"/>
        <w:ind w:firstLine="0"/>
        <w:jc w:val="both"/>
        <w:rPr>
          <w:rFonts w:ascii="Book Antiqua" w:hAnsi="Book Antiqua"/>
          <w:szCs w:val="22"/>
        </w:rPr>
      </w:pPr>
      <w:r>
        <w:rPr>
          <w:rFonts w:ascii="Book Antiqua" w:hAnsi="Book Antiqua"/>
          <w:szCs w:val="22"/>
        </w:rPr>
        <w:t xml:space="preserve">Inoltre, </w:t>
      </w:r>
      <w:r w:rsidR="0046626B">
        <w:rPr>
          <w:rFonts w:ascii="Book Antiqua" w:hAnsi="Book Antiqua"/>
          <w:szCs w:val="22"/>
        </w:rPr>
        <w:t xml:space="preserve">nella delineata fattispecie </w:t>
      </w:r>
      <w:r>
        <w:rPr>
          <w:rFonts w:ascii="Book Antiqua" w:hAnsi="Book Antiqua"/>
          <w:szCs w:val="22"/>
        </w:rPr>
        <w:t>ricorrerebbe un’u</w:t>
      </w:r>
      <w:r w:rsidR="00D76814" w:rsidRPr="00D76814">
        <w:rPr>
          <w:rFonts w:ascii="Book Antiqua" w:hAnsi="Book Antiqua"/>
          <w:szCs w:val="22"/>
        </w:rPr>
        <w:t>lteriore caratteristica, quella della congenita e fisiologica variabilità nel tempo</w:t>
      </w:r>
      <w:r w:rsidR="0046626B">
        <w:rPr>
          <w:rFonts w:ascii="Book Antiqua" w:hAnsi="Book Antiqua"/>
          <w:szCs w:val="22"/>
        </w:rPr>
        <w:t xml:space="preserve"> delle risorse</w:t>
      </w:r>
      <w:r w:rsidR="00D76814" w:rsidRPr="00D76814">
        <w:rPr>
          <w:rFonts w:ascii="Book Antiqua" w:hAnsi="Book Antiqua"/>
          <w:szCs w:val="22"/>
        </w:rPr>
        <w:t xml:space="preserve">, </w:t>
      </w:r>
      <w:r>
        <w:rPr>
          <w:rFonts w:ascii="Book Antiqua" w:hAnsi="Book Antiqua"/>
          <w:szCs w:val="22"/>
        </w:rPr>
        <w:t>che renderebbe tali emolumenti meno</w:t>
      </w:r>
      <w:r w:rsidR="00D76814" w:rsidRPr="00D76814">
        <w:rPr>
          <w:rFonts w:ascii="Book Antiqua" w:hAnsi="Book Antiqua"/>
          <w:szCs w:val="22"/>
        </w:rPr>
        <w:t xml:space="preserve"> suscettibili di essere soggett</w:t>
      </w:r>
      <w:r>
        <w:rPr>
          <w:rFonts w:ascii="Book Antiqua" w:hAnsi="Book Antiqua"/>
          <w:szCs w:val="22"/>
        </w:rPr>
        <w:t>i</w:t>
      </w:r>
      <w:r w:rsidR="00D76814" w:rsidRPr="00D76814">
        <w:rPr>
          <w:rFonts w:ascii="Book Antiqua" w:hAnsi="Book Antiqua"/>
          <w:szCs w:val="22"/>
        </w:rPr>
        <w:t xml:space="preserve"> ad una norma di finanza pubblica di carattere generale (quale quella in esame) avente come parametro di riferimento un predeterminato anno base.</w:t>
      </w:r>
    </w:p>
    <w:p w14:paraId="75AA7ADF" w14:textId="060DC11B" w:rsidR="00740625" w:rsidRDefault="0003388E" w:rsidP="006378F0">
      <w:pPr>
        <w:spacing w:after="120" w:line="340" w:lineRule="exact"/>
        <w:ind w:firstLine="0"/>
        <w:jc w:val="both"/>
        <w:rPr>
          <w:rFonts w:ascii="Book Antiqua" w:hAnsi="Book Antiqua"/>
          <w:szCs w:val="22"/>
        </w:rPr>
      </w:pPr>
      <w:r>
        <w:rPr>
          <w:rFonts w:ascii="Book Antiqua" w:hAnsi="Book Antiqua"/>
          <w:szCs w:val="22"/>
        </w:rPr>
        <w:t>Pertanto, la Sezione regionale di controllo per la Lombardia ha ritenuto che, dalle</w:t>
      </w:r>
      <w:r w:rsidR="0073139F">
        <w:rPr>
          <w:rFonts w:ascii="Book Antiqua" w:hAnsi="Book Antiqua"/>
          <w:szCs w:val="22"/>
        </w:rPr>
        <w:t xml:space="preserve"> eccezioni individuate dalle richiamate pronunce nomofilattiche, possano essere estratti dei principi comuni</w:t>
      </w:r>
      <w:r w:rsidR="00016DDA">
        <w:rPr>
          <w:rFonts w:ascii="Book Antiqua" w:hAnsi="Book Antiqua"/>
          <w:szCs w:val="22"/>
        </w:rPr>
        <w:t xml:space="preserve"> che consentono di escludere dal generale limite di finanza pubblica posto al complessivo trattamento economico accessorio del personale “</w:t>
      </w:r>
      <w:r w:rsidR="00016DDA" w:rsidRPr="00016DDA">
        <w:rPr>
          <w:rFonts w:ascii="Book Antiqua" w:hAnsi="Book Antiqua"/>
          <w:i/>
          <w:szCs w:val="22"/>
        </w:rPr>
        <w:t>i compensi previsti da specifiche disposizioni di legge, che individuano le risorse a tal fine destinate, nei limiti in cui sia provata la neutralità di impatto sul bilancio dell’ente locale (o, addirittura, il conseguimento di risparmi) e destinate ex lege (eventualmente intermediata dai CCNL di comparto) ad una predeterminata categoria di dipendenti per la valorizzazione di attività ulteriori (su un piano qualitativo e/o quantitativo) rispetto a quelle ordinariamente richieste</w:t>
      </w:r>
      <w:r w:rsidR="00016DDA">
        <w:rPr>
          <w:rFonts w:ascii="Book Antiqua" w:hAnsi="Book Antiqua"/>
          <w:szCs w:val="22"/>
        </w:rPr>
        <w:t>”.</w:t>
      </w:r>
    </w:p>
    <w:p w14:paraId="58B5E6D9" w14:textId="6A9B0B67" w:rsidR="00016DDA" w:rsidRDefault="00016DDA" w:rsidP="006378F0">
      <w:pPr>
        <w:spacing w:after="120" w:line="340" w:lineRule="exact"/>
        <w:ind w:firstLine="0"/>
        <w:jc w:val="both"/>
        <w:rPr>
          <w:rFonts w:ascii="Book Antiqua" w:hAnsi="Book Antiqua"/>
          <w:szCs w:val="22"/>
        </w:rPr>
      </w:pPr>
      <w:r>
        <w:rPr>
          <w:rFonts w:ascii="Book Antiqua" w:hAnsi="Book Antiqua"/>
          <w:szCs w:val="22"/>
        </w:rPr>
        <w:t xml:space="preserve">Sulla base di quanto esposto, la Sezione remittente ha ritenuto </w:t>
      </w:r>
      <w:r w:rsidR="00BC502B">
        <w:rPr>
          <w:rFonts w:ascii="Book Antiqua" w:hAnsi="Book Antiqua"/>
          <w:szCs w:val="22"/>
        </w:rPr>
        <w:t>di deferire al Presidente della Corte dei conti</w:t>
      </w:r>
      <w:r w:rsidR="00BC502B" w:rsidRPr="00BC502B">
        <w:t xml:space="preserve"> </w:t>
      </w:r>
      <w:r w:rsidR="00BC502B" w:rsidRPr="00BC502B">
        <w:rPr>
          <w:rFonts w:ascii="Book Antiqua" w:hAnsi="Book Antiqua"/>
          <w:szCs w:val="22"/>
        </w:rPr>
        <w:t xml:space="preserve">la seguente questione interpretativa di </w:t>
      </w:r>
      <w:r w:rsidR="00BC502B">
        <w:rPr>
          <w:rFonts w:ascii="Book Antiqua" w:hAnsi="Book Antiqua"/>
          <w:szCs w:val="22"/>
        </w:rPr>
        <w:t>massima di carattere</w:t>
      </w:r>
      <w:r w:rsidR="00BC502B" w:rsidRPr="00BC502B">
        <w:rPr>
          <w:rFonts w:ascii="Book Antiqua" w:hAnsi="Book Antiqua"/>
          <w:szCs w:val="22"/>
        </w:rPr>
        <w:t xml:space="preserve"> generale:</w:t>
      </w:r>
    </w:p>
    <w:p w14:paraId="30C72C70" w14:textId="7D3D776E" w:rsidR="00BC502B" w:rsidRDefault="00072A71" w:rsidP="006378F0">
      <w:pPr>
        <w:spacing w:after="120" w:line="340" w:lineRule="exact"/>
        <w:ind w:firstLine="0"/>
        <w:jc w:val="both"/>
        <w:rPr>
          <w:rFonts w:ascii="Book Antiqua" w:hAnsi="Book Antiqua"/>
          <w:szCs w:val="22"/>
        </w:rPr>
      </w:pPr>
      <w:r>
        <w:rPr>
          <w:rFonts w:ascii="Book Antiqua" w:hAnsi="Book Antiqua"/>
          <w:szCs w:val="22"/>
        </w:rPr>
        <w:t>«</w:t>
      </w:r>
      <w:r w:rsidR="00BC502B" w:rsidRPr="00BC502B">
        <w:rPr>
          <w:rFonts w:ascii="Book Antiqua" w:hAnsi="Book Antiqua"/>
          <w:i/>
          <w:szCs w:val="22"/>
        </w:rPr>
        <w:t>se possano essere esclusi dal vincolo generale di finanza pubblica, posto al complessivo trattamento economico accessorio dei dipendenti pubblici dall’art. 23, comma 2, del d.lgs. n. 75 del 2017, nei limiti in cui sia provata l’assoluta neutralità di impatto sul bilancio dell’ente locale (utilizzo delle sole somme effettivamente riscosse), gli incentivi monetari aventi copertura in quota parte delle sanzioni amministrative al codice della strada (art. 208, commi 4, lett. c), e 5-bis, del d.lgs. 50 del 2016), in quanto destinate ex lege (ed ai sensi del CCNL di comparto) ad una predeterminata categoria di dipendenti ed aventi fonte in una disposizione di legge speciale, che individua le autonome risorse finanziarie a cui devono essere imputati e gli importi finanziari massimi da osservare</w:t>
      </w:r>
      <w:r>
        <w:rPr>
          <w:rFonts w:ascii="Book Antiqua" w:hAnsi="Book Antiqua"/>
          <w:szCs w:val="22"/>
        </w:rPr>
        <w:t>»</w:t>
      </w:r>
      <w:r w:rsidR="00BC502B" w:rsidRPr="00BC502B">
        <w:rPr>
          <w:rFonts w:ascii="Book Antiqua" w:hAnsi="Book Antiqua"/>
          <w:szCs w:val="22"/>
        </w:rPr>
        <w:t>.</w:t>
      </w:r>
    </w:p>
    <w:p w14:paraId="1B4A6453" w14:textId="4E458904" w:rsidR="00410ED1" w:rsidRDefault="00BC502B" w:rsidP="006378F0">
      <w:pPr>
        <w:spacing w:after="120" w:line="340" w:lineRule="exact"/>
        <w:ind w:firstLine="0"/>
        <w:jc w:val="both"/>
        <w:rPr>
          <w:rFonts w:ascii="Book Antiqua" w:hAnsi="Book Antiqua"/>
          <w:szCs w:val="22"/>
        </w:rPr>
      </w:pPr>
      <w:r>
        <w:rPr>
          <w:rFonts w:ascii="Book Antiqua" w:hAnsi="Book Antiqua"/>
          <w:szCs w:val="22"/>
        </w:rPr>
        <w:t xml:space="preserve">In merito al terzo quesito proposto dal Comune di Milano, la Sezione ha preliminarmente evidenziato che </w:t>
      </w:r>
      <w:r w:rsidRPr="00BC502B">
        <w:rPr>
          <w:rFonts w:ascii="Book Antiqua" w:hAnsi="Book Antiqua"/>
          <w:szCs w:val="22"/>
        </w:rPr>
        <w:t xml:space="preserve">l’art. 14, comma 1, del CCNL 1° aprile 1999, </w:t>
      </w:r>
      <w:r w:rsidR="00242A99">
        <w:rPr>
          <w:rFonts w:ascii="Book Antiqua" w:hAnsi="Book Antiqua"/>
          <w:szCs w:val="22"/>
        </w:rPr>
        <w:t xml:space="preserve">tuttora vigente, </w:t>
      </w:r>
      <w:r w:rsidRPr="00BC502B">
        <w:rPr>
          <w:rFonts w:ascii="Book Antiqua" w:hAnsi="Book Antiqua"/>
          <w:szCs w:val="22"/>
        </w:rPr>
        <w:t xml:space="preserve">dispone che, per la corresponsione dei compensi relativi alle prestazioni di lavoro straordinario, gli Enti locali possono utilizzare, dal 1999, risorse finanziarie in misura non superiore a quelle destinate, al medesimo fine, nell’anno 1998. </w:t>
      </w:r>
      <w:r w:rsidR="00242A99">
        <w:rPr>
          <w:rFonts w:ascii="Book Antiqua" w:hAnsi="Book Antiqua"/>
          <w:szCs w:val="22"/>
        </w:rPr>
        <w:t xml:space="preserve">Tale disciplina si completa con le disposizioni </w:t>
      </w:r>
      <w:r w:rsidR="00240882">
        <w:rPr>
          <w:rFonts w:ascii="Book Antiqua" w:hAnsi="Book Antiqua"/>
          <w:szCs w:val="22"/>
        </w:rPr>
        <w:t xml:space="preserve">sia </w:t>
      </w:r>
      <w:r w:rsidR="00E109A8">
        <w:rPr>
          <w:rFonts w:ascii="Book Antiqua" w:hAnsi="Book Antiqua"/>
          <w:szCs w:val="22"/>
        </w:rPr>
        <w:t>del richiamato</w:t>
      </w:r>
      <w:r w:rsidR="00242A99">
        <w:rPr>
          <w:rFonts w:ascii="Book Antiqua" w:hAnsi="Book Antiqua"/>
          <w:szCs w:val="22"/>
        </w:rPr>
        <w:t xml:space="preserve"> comma 2, che consente di incrementare il fondo per il lavoro straordinario</w:t>
      </w:r>
      <w:r w:rsidR="0019273B">
        <w:rPr>
          <w:rFonts w:ascii="Book Antiqua" w:hAnsi="Book Antiqua"/>
          <w:szCs w:val="22"/>
        </w:rPr>
        <w:t xml:space="preserve"> </w:t>
      </w:r>
      <w:r w:rsidR="00CB6368">
        <w:rPr>
          <w:rFonts w:ascii="Book Antiqua" w:hAnsi="Book Antiqua"/>
          <w:szCs w:val="22"/>
        </w:rPr>
        <w:t>«</w:t>
      </w:r>
      <w:r w:rsidR="0019273B" w:rsidRPr="0019273B">
        <w:rPr>
          <w:rFonts w:ascii="Book Antiqua" w:hAnsi="Book Antiqua"/>
          <w:i/>
          <w:szCs w:val="22"/>
        </w:rPr>
        <w:t>con le disponibilità derivanti da specifiche disposizioni di legge connesse alla tutela di particolari attività, ed in particolare di quelle elettorali, nonché alla necessità di fronteggiare eventi eccezionali</w:t>
      </w:r>
      <w:r w:rsidR="00CB6368">
        <w:rPr>
          <w:rFonts w:ascii="Book Antiqua" w:hAnsi="Book Antiqua"/>
          <w:szCs w:val="22"/>
        </w:rPr>
        <w:t>»</w:t>
      </w:r>
      <w:r w:rsidR="0019273B">
        <w:rPr>
          <w:rFonts w:ascii="Book Antiqua" w:hAnsi="Book Antiqua"/>
          <w:szCs w:val="22"/>
        </w:rPr>
        <w:t xml:space="preserve">, </w:t>
      </w:r>
      <w:r w:rsidR="00240882">
        <w:rPr>
          <w:rFonts w:ascii="Book Antiqua" w:hAnsi="Book Antiqua"/>
          <w:szCs w:val="22"/>
        </w:rPr>
        <w:t>sia</w:t>
      </w:r>
      <w:r w:rsidR="00E109A8">
        <w:rPr>
          <w:rFonts w:ascii="Book Antiqua" w:hAnsi="Book Antiqua"/>
          <w:szCs w:val="22"/>
        </w:rPr>
        <w:t xml:space="preserve"> </w:t>
      </w:r>
      <w:r w:rsidR="0019273B">
        <w:rPr>
          <w:rFonts w:ascii="Book Antiqua" w:hAnsi="Book Antiqua"/>
          <w:szCs w:val="22"/>
        </w:rPr>
        <w:t>d</w:t>
      </w:r>
      <w:r w:rsidR="00E109A8">
        <w:rPr>
          <w:rFonts w:ascii="Book Antiqua" w:hAnsi="Book Antiqua"/>
          <w:szCs w:val="22"/>
        </w:rPr>
        <w:t>e</w:t>
      </w:r>
      <w:r w:rsidR="0019273B">
        <w:rPr>
          <w:rFonts w:ascii="Book Antiqua" w:hAnsi="Book Antiqua"/>
          <w:szCs w:val="22"/>
        </w:rPr>
        <w:t>l comma 4</w:t>
      </w:r>
      <w:r w:rsidR="00586022">
        <w:rPr>
          <w:rFonts w:ascii="Book Antiqua" w:hAnsi="Book Antiqua"/>
          <w:szCs w:val="22"/>
        </w:rPr>
        <w:t xml:space="preserve">, secondo il quale: </w:t>
      </w:r>
      <w:r w:rsidR="00CB6368">
        <w:rPr>
          <w:rFonts w:ascii="Book Antiqua" w:hAnsi="Book Antiqua"/>
          <w:szCs w:val="22"/>
        </w:rPr>
        <w:t>«</w:t>
      </w:r>
      <w:r w:rsidR="00586022" w:rsidRPr="00586022">
        <w:rPr>
          <w:rFonts w:ascii="Book Antiqua" w:hAnsi="Book Antiqua"/>
          <w:i/>
          <w:szCs w:val="22"/>
        </w:rPr>
        <w:t>A decorrere dal 31.12.1999, le risorse destinate nel medesimo anno al pagamento dei compensi per prestazioni di lavoro straordinario sono ridotte nella misura del 3% ed  il limite massimo annuo individuale per le medesime prestazioni è rideterminato in 180 ore</w:t>
      </w:r>
      <w:r w:rsidR="00CB6368">
        <w:rPr>
          <w:rFonts w:ascii="Book Antiqua" w:hAnsi="Book Antiqua"/>
          <w:szCs w:val="22"/>
        </w:rPr>
        <w:t>»</w:t>
      </w:r>
      <w:r w:rsidR="00586022" w:rsidRPr="00586022">
        <w:rPr>
          <w:rFonts w:ascii="Book Antiqua" w:hAnsi="Book Antiqua"/>
          <w:szCs w:val="22"/>
        </w:rPr>
        <w:t>.</w:t>
      </w:r>
    </w:p>
    <w:p w14:paraId="0F7EA757" w14:textId="2D885CF4" w:rsidR="00586022" w:rsidRDefault="00586022" w:rsidP="006378F0">
      <w:pPr>
        <w:spacing w:after="120" w:line="340" w:lineRule="exact"/>
        <w:ind w:firstLine="0"/>
        <w:jc w:val="both"/>
        <w:rPr>
          <w:rFonts w:ascii="Book Antiqua" w:hAnsi="Book Antiqua"/>
          <w:szCs w:val="22"/>
        </w:rPr>
      </w:pPr>
      <w:r>
        <w:rPr>
          <w:rFonts w:ascii="Book Antiqua" w:hAnsi="Book Antiqua"/>
          <w:szCs w:val="22"/>
        </w:rPr>
        <w:t xml:space="preserve">Sullo specifico dubbio interpretativo posto dal </w:t>
      </w:r>
      <w:r w:rsidR="00E109A8">
        <w:rPr>
          <w:rFonts w:ascii="Book Antiqua" w:hAnsi="Book Antiqua"/>
          <w:szCs w:val="22"/>
        </w:rPr>
        <w:t>Sindaco</w:t>
      </w:r>
      <w:r>
        <w:rPr>
          <w:rFonts w:ascii="Book Antiqua" w:hAnsi="Book Antiqua"/>
          <w:szCs w:val="22"/>
        </w:rPr>
        <w:t xml:space="preserve"> di Milano (“</w:t>
      </w:r>
      <w:r w:rsidRPr="00586022">
        <w:rPr>
          <w:rFonts w:ascii="Book Antiqua" w:hAnsi="Book Antiqua"/>
          <w:i/>
          <w:szCs w:val="22"/>
        </w:rPr>
        <w:t>se nel calcolo del limite del fondo per lo straordinario, ai sensi e per gli effetti dell’art. 14, comma 1 e comma 4, CCNL 1° aprile 1999, possano essere esclusi gli oneri relativi ai rinnovi contrattuali</w:t>
      </w:r>
      <w:r>
        <w:rPr>
          <w:rFonts w:ascii="Book Antiqua" w:hAnsi="Book Antiqua"/>
          <w:szCs w:val="22"/>
        </w:rPr>
        <w:t xml:space="preserve">”), la Sezione ha osservato che </w:t>
      </w:r>
      <w:r>
        <w:rPr>
          <w:rFonts w:ascii="Book Antiqua" w:hAnsi="Book Antiqua"/>
          <w:szCs w:val="22"/>
        </w:rPr>
        <w:lastRenderedPageBreak/>
        <w:t>sul punto è intervenuto</w:t>
      </w:r>
      <w:r w:rsidRPr="00586022">
        <w:rPr>
          <w:rFonts w:ascii="Book Antiqua" w:hAnsi="Book Antiqua"/>
          <w:szCs w:val="22"/>
        </w:rPr>
        <w:t>, di recente,</w:t>
      </w:r>
      <w:r w:rsidRPr="00586022">
        <w:t xml:space="preserve"> </w:t>
      </w:r>
      <w:r w:rsidRPr="00586022">
        <w:rPr>
          <w:rFonts w:ascii="Book Antiqua" w:hAnsi="Book Antiqua"/>
          <w:szCs w:val="22"/>
        </w:rPr>
        <w:t>un parere dell’ARAN (n. 12787/2018) che avrebbe escluso la possibilità di aumentare il fondo per lavoro straordinario degli incrementi contrattuali intervenuti con i CCNL successivi al 1999.</w:t>
      </w:r>
    </w:p>
    <w:p w14:paraId="69078956" w14:textId="0740E44C" w:rsidR="00586022" w:rsidRDefault="00586022" w:rsidP="006378F0">
      <w:pPr>
        <w:spacing w:after="120" w:line="340" w:lineRule="exact"/>
        <w:ind w:firstLine="0"/>
        <w:jc w:val="both"/>
        <w:rPr>
          <w:rFonts w:ascii="Book Antiqua" w:hAnsi="Book Antiqua"/>
          <w:szCs w:val="22"/>
        </w:rPr>
      </w:pPr>
      <w:r>
        <w:rPr>
          <w:rFonts w:ascii="Book Antiqua" w:hAnsi="Book Antiqua"/>
          <w:szCs w:val="22"/>
        </w:rPr>
        <w:t xml:space="preserve">Pur non trattandosi di un parere vincolante per la magistratura, la Sezione ha ritenuto che, </w:t>
      </w:r>
      <w:r w:rsidR="00626757">
        <w:rPr>
          <w:rFonts w:ascii="Book Antiqua" w:hAnsi="Book Antiqua"/>
          <w:szCs w:val="22"/>
        </w:rPr>
        <w:t>in ragione del</w:t>
      </w:r>
      <w:r>
        <w:rPr>
          <w:rFonts w:ascii="Book Antiqua" w:hAnsi="Book Antiqua"/>
          <w:szCs w:val="22"/>
        </w:rPr>
        <w:t>l’orientamento nomofilattico</w:t>
      </w:r>
      <w:r w:rsidR="00626757">
        <w:rPr>
          <w:rFonts w:ascii="Book Antiqua" w:hAnsi="Book Antiqua"/>
          <w:szCs w:val="22"/>
        </w:rPr>
        <w:t xml:space="preserve"> che preclude l’accesso alla funzione consultiva per i dubbi interpretativi aventi fonte in disposizioni del contratto collettivo nazionale, la questione possa rilevare solo nella diversa, anche se complementare, prospettiva della corretta osservanza del limite di finanza pubblica posto al trattamento economico accessorio.</w:t>
      </w:r>
    </w:p>
    <w:p w14:paraId="5A90DAF7" w14:textId="101700C8" w:rsidR="00626757" w:rsidRDefault="00FC26B0" w:rsidP="006378F0">
      <w:pPr>
        <w:spacing w:after="120" w:line="340" w:lineRule="exact"/>
        <w:ind w:firstLine="0"/>
        <w:jc w:val="both"/>
        <w:rPr>
          <w:rFonts w:ascii="Book Antiqua" w:hAnsi="Book Antiqua"/>
          <w:szCs w:val="22"/>
        </w:rPr>
      </w:pPr>
      <w:r>
        <w:rPr>
          <w:rFonts w:ascii="Book Antiqua" w:hAnsi="Book Antiqua"/>
          <w:szCs w:val="22"/>
        </w:rPr>
        <w:t>Muovendosi i</w:t>
      </w:r>
      <w:r w:rsidR="00626757">
        <w:rPr>
          <w:rFonts w:ascii="Book Antiqua" w:hAnsi="Book Antiqua"/>
          <w:szCs w:val="22"/>
        </w:rPr>
        <w:t xml:space="preserve">n tale direzione, la Sezione ha evidenziato che il fondo per il lavoro straordinario </w:t>
      </w:r>
      <w:r w:rsidR="00CB6368">
        <w:rPr>
          <w:rFonts w:ascii="Book Antiqua" w:hAnsi="Book Antiqua"/>
          <w:szCs w:val="22"/>
        </w:rPr>
        <w:t>«</w:t>
      </w:r>
      <w:r w:rsidR="00626757" w:rsidRPr="00626757">
        <w:rPr>
          <w:rFonts w:ascii="Book Antiqua" w:hAnsi="Book Antiqua"/>
          <w:i/>
          <w:szCs w:val="22"/>
        </w:rPr>
        <w:t>ha un suo autonomo tetto (sia pure di fonte contrattuale) avente base storica (ma disallineata rispetto a quello posto al trattamento economico accessorio complessivo, il 1998, in luogo del 2016)</w:t>
      </w:r>
      <w:r w:rsidR="00CB6368">
        <w:rPr>
          <w:rFonts w:ascii="Book Antiqua" w:hAnsi="Book Antiqua"/>
          <w:szCs w:val="22"/>
        </w:rPr>
        <w:t>»</w:t>
      </w:r>
      <w:r w:rsidR="00626757">
        <w:rPr>
          <w:rFonts w:ascii="Book Antiqua" w:hAnsi="Book Antiqua"/>
          <w:szCs w:val="22"/>
        </w:rPr>
        <w:t>,</w:t>
      </w:r>
      <w:r w:rsidR="00E84598">
        <w:rPr>
          <w:rFonts w:ascii="Book Antiqua" w:hAnsi="Book Antiqua"/>
          <w:szCs w:val="22"/>
        </w:rPr>
        <w:t xml:space="preserve"> sicché il quesito, al fine di ritenerlo ammissibile, </w:t>
      </w:r>
      <w:r w:rsidR="00CB6368">
        <w:rPr>
          <w:rFonts w:ascii="Book Antiqua" w:hAnsi="Book Antiqua"/>
          <w:szCs w:val="22"/>
        </w:rPr>
        <w:t>«</w:t>
      </w:r>
      <w:r w:rsidR="00E84598" w:rsidRPr="00E84598">
        <w:rPr>
          <w:rFonts w:ascii="Book Antiqua" w:hAnsi="Book Antiqua"/>
          <w:i/>
          <w:szCs w:val="22"/>
        </w:rPr>
        <w:t>può essere articolato in uno principale (quello posto, letteralmente, dal Comune istante) ed uno subordinato (che costituisce la premessa e lo sviluppo logico del secondo quesito posto dal medesimo Comune)</w:t>
      </w:r>
      <w:r w:rsidR="00CB6368">
        <w:rPr>
          <w:rFonts w:ascii="Book Antiqua" w:hAnsi="Book Antiqua"/>
          <w:szCs w:val="22"/>
        </w:rPr>
        <w:t>»</w:t>
      </w:r>
      <w:r w:rsidR="00E84598">
        <w:rPr>
          <w:rFonts w:ascii="Book Antiqua" w:hAnsi="Book Antiqua"/>
          <w:szCs w:val="22"/>
        </w:rPr>
        <w:t xml:space="preserve">, così da chiarire </w:t>
      </w:r>
      <w:r w:rsidR="00CB6368">
        <w:rPr>
          <w:rFonts w:ascii="Book Antiqua" w:hAnsi="Book Antiqua"/>
          <w:szCs w:val="22"/>
        </w:rPr>
        <w:t>«</w:t>
      </w:r>
      <w:r w:rsidR="00E84598" w:rsidRPr="00E84598">
        <w:rPr>
          <w:rFonts w:ascii="Book Antiqua" w:hAnsi="Book Antiqua"/>
          <w:i/>
          <w:szCs w:val="22"/>
        </w:rPr>
        <w:t>se, ed in che termini, il fondo per il lavoro straordinario sia assoggettato al complessivo limite posto al trattamento economico accessorio del personale pubblico dall’art. 23, comma 2, del d.lgs. n. 75 del 2017</w:t>
      </w:r>
      <w:r w:rsidR="00CB6368">
        <w:rPr>
          <w:rFonts w:ascii="Book Antiqua" w:hAnsi="Book Antiqua"/>
          <w:szCs w:val="22"/>
        </w:rPr>
        <w:t>»</w:t>
      </w:r>
      <w:r w:rsidR="00E84598">
        <w:rPr>
          <w:rFonts w:ascii="Book Antiqua" w:hAnsi="Book Antiqua"/>
          <w:szCs w:val="22"/>
        </w:rPr>
        <w:t>.</w:t>
      </w:r>
    </w:p>
    <w:p w14:paraId="6E3D6819" w14:textId="50095345" w:rsidR="00BC502B" w:rsidRDefault="00FC35C8" w:rsidP="006378F0">
      <w:pPr>
        <w:spacing w:after="120" w:line="340" w:lineRule="exact"/>
        <w:ind w:firstLine="0"/>
        <w:jc w:val="both"/>
        <w:rPr>
          <w:rFonts w:ascii="Book Antiqua" w:hAnsi="Book Antiqua"/>
          <w:szCs w:val="22"/>
        </w:rPr>
      </w:pPr>
      <w:r>
        <w:rPr>
          <w:rFonts w:ascii="Book Antiqua" w:hAnsi="Book Antiqua"/>
          <w:szCs w:val="22"/>
        </w:rPr>
        <w:t>A giudizio della Sezione,</w:t>
      </w:r>
      <w:r w:rsidR="002E69DC">
        <w:rPr>
          <w:rFonts w:ascii="Book Antiqua" w:hAnsi="Book Antiqua"/>
          <w:szCs w:val="22"/>
        </w:rPr>
        <w:t xml:space="preserve"> infatti,</w:t>
      </w:r>
      <w:r>
        <w:rPr>
          <w:rFonts w:ascii="Book Antiqua" w:hAnsi="Book Antiqua"/>
          <w:szCs w:val="22"/>
        </w:rPr>
        <w:t xml:space="preserve"> </w:t>
      </w:r>
      <w:r w:rsidR="00CB6368">
        <w:rPr>
          <w:rFonts w:ascii="Book Antiqua" w:hAnsi="Book Antiqua"/>
          <w:szCs w:val="22"/>
        </w:rPr>
        <w:t>«</w:t>
      </w:r>
      <w:r w:rsidRPr="00FC35C8">
        <w:rPr>
          <w:rFonts w:ascii="Book Antiqua" w:hAnsi="Book Antiqua"/>
          <w:i/>
          <w:szCs w:val="22"/>
        </w:rPr>
        <w:t>appare opportuna un’interpretazione che tenga almeno conto dei fattori, non dipendenti dalla volontà dell’ente locale, dell’ancoramento ad un precedente anno base (nel caso del fondo per lo straordinario, particolarmente risalente nel tempo, il 1998) e della stipula, medio tempore intervenuta, di rinnovi del contratto collettivo nazionale, che ne hanno sensibilmente ridotto il valore reale (in base a quanto riportato dal Comune, nell’istanza di parere, in misura pari al 26%)</w:t>
      </w:r>
      <w:r w:rsidR="00CB6368">
        <w:rPr>
          <w:rFonts w:ascii="Book Antiqua" w:hAnsi="Book Antiqua"/>
          <w:szCs w:val="22"/>
        </w:rPr>
        <w:t>»</w:t>
      </w:r>
      <w:r>
        <w:rPr>
          <w:rFonts w:ascii="Book Antiqua" w:hAnsi="Book Antiqua"/>
          <w:szCs w:val="22"/>
        </w:rPr>
        <w:t>.</w:t>
      </w:r>
    </w:p>
    <w:p w14:paraId="5F5DD827" w14:textId="5658102F" w:rsidR="002E69DC" w:rsidRDefault="002E69DC" w:rsidP="006378F0">
      <w:pPr>
        <w:spacing w:after="120" w:line="340" w:lineRule="exact"/>
        <w:ind w:firstLine="0"/>
        <w:jc w:val="both"/>
        <w:rPr>
          <w:rFonts w:ascii="Book Antiqua" w:hAnsi="Book Antiqua"/>
          <w:szCs w:val="22"/>
        </w:rPr>
      </w:pPr>
      <w:r>
        <w:rPr>
          <w:rFonts w:ascii="Book Antiqua" w:hAnsi="Book Antiqua"/>
          <w:szCs w:val="22"/>
        </w:rPr>
        <w:t>In questa prospettiva, la Sezione regionale Lombardia ha proposto la seguente questione di massima:</w:t>
      </w:r>
    </w:p>
    <w:p w14:paraId="6594AF26" w14:textId="1BD75AD2" w:rsidR="00BC502B" w:rsidRDefault="00CB6368" w:rsidP="006378F0">
      <w:pPr>
        <w:spacing w:after="120" w:line="340" w:lineRule="exact"/>
        <w:ind w:firstLine="0"/>
        <w:jc w:val="both"/>
        <w:rPr>
          <w:rFonts w:ascii="Book Antiqua" w:hAnsi="Book Antiqua"/>
          <w:szCs w:val="22"/>
        </w:rPr>
      </w:pPr>
      <w:r>
        <w:rPr>
          <w:rFonts w:ascii="Book Antiqua" w:hAnsi="Book Antiqua"/>
          <w:szCs w:val="22"/>
        </w:rPr>
        <w:t>«</w:t>
      </w:r>
      <w:r w:rsidR="002E69DC" w:rsidRPr="002E69DC">
        <w:rPr>
          <w:rFonts w:ascii="Book Antiqua" w:hAnsi="Book Antiqua"/>
          <w:i/>
          <w:szCs w:val="22"/>
        </w:rPr>
        <w:t>se il costo dell’ora di lavoro straordinario possa essere depurato, ai fini del rispetto dell’ammontare massimo annuo del pertinente fondo (art. 14, commi 1 e 4, del CCNL 1° aprile 1999) dell’incremento di costo avente fonte nei rinnovi dei contratti collettivi nazionali medio tempore intervenuti. In subordine, se ai fini dell’osservanza del tetto posto al complessivo trattamento economico accessorio (art. 23, comma 2, del d.lgs. n. 75 del 2017), l’ammontare del fondo per il lavoro straordinario possa essere incrementato della percentuale di aumento derivante dai rinnovi contrattuali intervenuti fra il 1998 (anno base preso a riferimento dall’art. 14 del CCNL 1° aprile 1999) ed il 2016 (anno base preso a riferimento dall’art. 23, comma 2, del d.lgs. n. 75 del 2017) al fine di rendere omogenei i riferimenti temporali delle varie componenti di salario accessorio (fondo per lo straordinario, fondo per le risorse decentrate, incarichi di posizione organizzativa, etc.) che concorrono alla sua osservanza</w:t>
      </w:r>
      <w:r>
        <w:rPr>
          <w:rFonts w:ascii="Book Antiqua" w:hAnsi="Book Antiqua"/>
          <w:szCs w:val="22"/>
        </w:rPr>
        <w:t>»</w:t>
      </w:r>
      <w:r w:rsidR="002E69DC" w:rsidRPr="002E69DC">
        <w:rPr>
          <w:rFonts w:ascii="Book Antiqua" w:hAnsi="Book Antiqua"/>
          <w:szCs w:val="22"/>
        </w:rPr>
        <w:t>.</w:t>
      </w:r>
    </w:p>
    <w:p w14:paraId="4B433CCB" w14:textId="452F9C34" w:rsidR="00BC502B" w:rsidRDefault="00FF2B9C" w:rsidP="006378F0">
      <w:pPr>
        <w:spacing w:after="120" w:line="340" w:lineRule="exact"/>
        <w:ind w:firstLine="0"/>
        <w:jc w:val="both"/>
        <w:rPr>
          <w:rFonts w:ascii="Book Antiqua" w:hAnsi="Book Antiqua"/>
          <w:szCs w:val="22"/>
        </w:rPr>
      </w:pPr>
      <w:r>
        <w:rPr>
          <w:rFonts w:ascii="Book Antiqua" w:hAnsi="Book Antiqua"/>
          <w:szCs w:val="22"/>
        </w:rPr>
        <w:t>L</w:t>
      </w:r>
      <w:r w:rsidRPr="009C755D">
        <w:rPr>
          <w:rFonts w:ascii="Book Antiqua" w:hAnsi="Book Antiqua"/>
          <w:szCs w:val="22"/>
        </w:rPr>
        <w:t>’esame e la pronuncia in ordine</w:t>
      </w:r>
      <w:r>
        <w:rPr>
          <w:rFonts w:ascii="Book Antiqua" w:hAnsi="Book Antiqua"/>
          <w:szCs w:val="22"/>
        </w:rPr>
        <w:t xml:space="preserve"> </w:t>
      </w:r>
      <w:r w:rsidR="002E69DC">
        <w:rPr>
          <w:rFonts w:ascii="Book Antiqua" w:hAnsi="Book Antiqua"/>
          <w:szCs w:val="22"/>
        </w:rPr>
        <w:t xml:space="preserve">alle tre questioni di massima </w:t>
      </w:r>
      <w:r>
        <w:rPr>
          <w:rFonts w:ascii="Book Antiqua" w:hAnsi="Book Antiqua"/>
          <w:szCs w:val="22"/>
        </w:rPr>
        <w:t xml:space="preserve">sollevate </w:t>
      </w:r>
      <w:r w:rsidRPr="00D75DEC">
        <w:rPr>
          <w:rFonts w:ascii="Book Antiqua" w:hAnsi="Book Antiqua"/>
          <w:szCs w:val="22"/>
        </w:rPr>
        <w:t>dalla Sezione regionale di controllo per la Lombardia</w:t>
      </w:r>
      <w:r w:rsidRPr="002E69DC">
        <w:rPr>
          <w:rFonts w:ascii="Book Antiqua" w:hAnsi="Book Antiqua"/>
          <w:szCs w:val="22"/>
        </w:rPr>
        <w:t xml:space="preserve"> </w:t>
      </w:r>
      <w:r>
        <w:rPr>
          <w:rFonts w:ascii="Book Antiqua" w:hAnsi="Book Antiqua"/>
          <w:szCs w:val="22"/>
        </w:rPr>
        <w:t xml:space="preserve">e da questa rimesse </w:t>
      </w:r>
      <w:r w:rsidR="002E69DC" w:rsidRPr="002E69DC">
        <w:rPr>
          <w:rFonts w:ascii="Book Antiqua" w:hAnsi="Book Antiqua"/>
          <w:szCs w:val="22"/>
        </w:rPr>
        <w:t xml:space="preserve">alle valutazioni del Presidente </w:t>
      </w:r>
      <w:r w:rsidR="002E69DC" w:rsidRPr="002E69DC">
        <w:rPr>
          <w:rFonts w:ascii="Book Antiqua" w:hAnsi="Book Antiqua"/>
          <w:szCs w:val="22"/>
        </w:rPr>
        <w:lastRenderedPageBreak/>
        <w:t>della Corte dei conti</w:t>
      </w:r>
      <w:r w:rsidR="009C755D" w:rsidRPr="009C755D">
        <w:t xml:space="preserve"> </w:t>
      </w:r>
      <w:r w:rsidR="009C755D" w:rsidRPr="009C755D">
        <w:rPr>
          <w:rFonts w:ascii="Book Antiqua" w:hAnsi="Book Antiqua"/>
          <w:szCs w:val="22"/>
        </w:rPr>
        <w:t xml:space="preserve">ai sensi dell’art. 17, comma 31, del </w:t>
      </w:r>
      <w:proofErr w:type="spellStart"/>
      <w:r w:rsidR="009C755D" w:rsidRPr="009C755D">
        <w:rPr>
          <w:rFonts w:ascii="Book Antiqua" w:hAnsi="Book Antiqua"/>
          <w:szCs w:val="22"/>
        </w:rPr>
        <w:t>d</w:t>
      </w:r>
      <w:r w:rsidR="009C755D">
        <w:rPr>
          <w:rFonts w:ascii="Book Antiqua" w:hAnsi="Book Antiqua"/>
          <w:szCs w:val="22"/>
        </w:rPr>
        <w:t>.l.</w:t>
      </w:r>
      <w:proofErr w:type="spellEnd"/>
      <w:r w:rsidR="009C755D" w:rsidRPr="009C755D">
        <w:rPr>
          <w:rFonts w:ascii="Book Antiqua" w:hAnsi="Book Antiqua"/>
          <w:szCs w:val="22"/>
        </w:rPr>
        <w:t xml:space="preserve"> 1° luglio 2009, n. 78, convertito con modificazioni in legge 3 agosto 2009, n. 102, e dell’art. 6, comma 4, del </w:t>
      </w:r>
      <w:proofErr w:type="spellStart"/>
      <w:r w:rsidR="009C755D" w:rsidRPr="009C755D">
        <w:rPr>
          <w:rFonts w:ascii="Book Antiqua" w:hAnsi="Book Antiqua"/>
          <w:szCs w:val="22"/>
        </w:rPr>
        <w:t>d</w:t>
      </w:r>
      <w:r w:rsidR="009C755D">
        <w:rPr>
          <w:rFonts w:ascii="Book Antiqua" w:hAnsi="Book Antiqua"/>
          <w:szCs w:val="22"/>
        </w:rPr>
        <w:t>.l.</w:t>
      </w:r>
      <w:proofErr w:type="spellEnd"/>
      <w:r w:rsidR="009C755D" w:rsidRPr="009C755D">
        <w:rPr>
          <w:rFonts w:ascii="Book Antiqua" w:hAnsi="Book Antiqua"/>
          <w:szCs w:val="22"/>
        </w:rPr>
        <w:t xml:space="preserve"> 10 ottobre 2012</w:t>
      </w:r>
      <w:r w:rsidR="009C755D">
        <w:rPr>
          <w:rFonts w:ascii="Book Antiqua" w:hAnsi="Book Antiqua"/>
          <w:szCs w:val="22"/>
        </w:rPr>
        <w:t>,</w:t>
      </w:r>
      <w:r w:rsidR="009C755D" w:rsidRPr="009C755D">
        <w:rPr>
          <w:rFonts w:ascii="Book Antiqua" w:hAnsi="Book Antiqua"/>
          <w:szCs w:val="22"/>
        </w:rPr>
        <w:t xml:space="preserve"> n. 174, convertito con modificazioni in legge 7 dicembre 2012</w:t>
      </w:r>
      <w:r w:rsidR="009C755D">
        <w:rPr>
          <w:rFonts w:ascii="Book Antiqua" w:hAnsi="Book Antiqua"/>
          <w:szCs w:val="22"/>
        </w:rPr>
        <w:t>,</w:t>
      </w:r>
      <w:r w:rsidR="009C755D" w:rsidRPr="009C755D">
        <w:rPr>
          <w:rFonts w:ascii="Book Antiqua" w:hAnsi="Book Antiqua"/>
          <w:szCs w:val="22"/>
        </w:rPr>
        <w:t xml:space="preserve"> n. 213,</w:t>
      </w:r>
      <w:r w:rsidR="009C755D">
        <w:rPr>
          <w:rFonts w:ascii="Book Antiqua" w:hAnsi="Book Antiqua"/>
          <w:szCs w:val="22"/>
        </w:rPr>
        <w:t xml:space="preserve"> </w:t>
      </w:r>
      <w:r>
        <w:rPr>
          <w:rFonts w:ascii="Book Antiqua" w:hAnsi="Book Antiqua"/>
          <w:szCs w:val="22"/>
        </w:rPr>
        <w:t xml:space="preserve">sono stati deferiti </w:t>
      </w:r>
      <w:r w:rsidRPr="009C755D">
        <w:rPr>
          <w:rFonts w:ascii="Book Antiqua" w:hAnsi="Book Antiqua"/>
          <w:szCs w:val="22"/>
        </w:rPr>
        <w:t>alla Sezione delle autonomie</w:t>
      </w:r>
      <w:r w:rsidR="009C755D">
        <w:rPr>
          <w:rFonts w:ascii="Book Antiqua" w:hAnsi="Book Antiqua"/>
          <w:szCs w:val="22"/>
        </w:rPr>
        <w:t xml:space="preserve"> </w:t>
      </w:r>
      <w:r w:rsidR="009C755D" w:rsidRPr="009C755D">
        <w:rPr>
          <w:rFonts w:ascii="Book Antiqua" w:hAnsi="Book Antiqua"/>
          <w:szCs w:val="22"/>
        </w:rPr>
        <w:t xml:space="preserve">con ordinanza </w:t>
      </w:r>
      <w:r>
        <w:rPr>
          <w:rFonts w:ascii="Book Antiqua" w:hAnsi="Book Antiqua"/>
          <w:szCs w:val="22"/>
        </w:rPr>
        <w:t>del Presidente della Corte</w:t>
      </w:r>
      <w:r w:rsidRPr="009C755D">
        <w:rPr>
          <w:rFonts w:ascii="Book Antiqua" w:hAnsi="Book Antiqua"/>
          <w:szCs w:val="22"/>
        </w:rPr>
        <w:t xml:space="preserve"> </w:t>
      </w:r>
      <w:r w:rsidR="009C755D" w:rsidRPr="009C755D">
        <w:rPr>
          <w:rFonts w:ascii="Book Antiqua" w:hAnsi="Book Antiqua"/>
          <w:szCs w:val="22"/>
        </w:rPr>
        <w:t xml:space="preserve">n. </w:t>
      </w:r>
      <w:r w:rsidR="00D75DEC">
        <w:rPr>
          <w:rFonts w:ascii="Book Antiqua" w:hAnsi="Book Antiqua"/>
          <w:szCs w:val="22"/>
        </w:rPr>
        <w:t>1</w:t>
      </w:r>
      <w:r w:rsidR="009C755D" w:rsidRPr="009C755D">
        <w:rPr>
          <w:rFonts w:ascii="Book Antiqua" w:hAnsi="Book Antiqua"/>
          <w:szCs w:val="22"/>
        </w:rPr>
        <w:t xml:space="preserve"> del </w:t>
      </w:r>
      <w:r w:rsidR="00D75DEC">
        <w:rPr>
          <w:rFonts w:ascii="Book Antiqua" w:hAnsi="Book Antiqua"/>
          <w:szCs w:val="22"/>
        </w:rPr>
        <w:t>10</w:t>
      </w:r>
      <w:r w:rsidR="009C755D" w:rsidRPr="009C755D">
        <w:rPr>
          <w:rFonts w:ascii="Book Antiqua" w:hAnsi="Book Antiqua"/>
          <w:szCs w:val="22"/>
        </w:rPr>
        <w:t xml:space="preserve"> </w:t>
      </w:r>
      <w:r w:rsidR="00D75DEC">
        <w:rPr>
          <w:rFonts w:ascii="Book Antiqua" w:hAnsi="Book Antiqua"/>
          <w:szCs w:val="22"/>
        </w:rPr>
        <w:t xml:space="preserve">gennaio </w:t>
      </w:r>
      <w:r w:rsidR="009C755D" w:rsidRPr="009C755D">
        <w:rPr>
          <w:rFonts w:ascii="Book Antiqua" w:hAnsi="Book Antiqua"/>
          <w:szCs w:val="22"/>
        </w:rPr>
        <w:t>201</w:t>
      </w:r>
      <w:r w:rsidR="00D75DEC">
        <w:rPr>
          <w:rFonts w:ascii="Book Antiqua" w:hAnsi="Book Antiqua"/>
          <w:szCs w:val="22"/>
        </w:rPr>
        <w:t>9</w:t>
      </w:r>
      <w:r>
        <w:rPr>
          <w:rFonts w:ascii="Book Antiqua" w:hAnsi="Book Antiqua"/>
          <w:szCs w:val="22"/>
        </w:rPr>
        <w:t>.</w:t>
      </w:r>
    </w:p>
    <w:p w14:paraId="7553B0B7" w14:textId="7A94A7AE" w:rsidR="000D5013" w:rsidRPr="009E39B0" w:rsidRDefault="000D5013" w:rsidP="00372507">
      <w:pPr>
        <w:shd w:val="clear" w:color="auto" w:fill="FFFFFF"/>
        <w:spacing w:before="240" w:after="240" w:line="340" w:lineRule="exact"/>
        <w:ind w:firstLine="0"/>
        <w:jc w:val="center"/>
        <w:rPr>
          <w:rFonts w:ascii="Book Antiqua" w:hAnsi="Book Antiqua"/>
          <w:b/>
          <w:szCs w:val="22"/>
        </w:rPr>
      </w:pPr>
      <w:r w:rsidRPr="009E39B0">
        <w:rPr>
          <w:rFonts w:ascii="Book Antiqua" w:hAnsi="Book Antiqua"/>
          <w:b/>
          <w:szCs w:val="22"/>
        </w:rPr>
        <w:t>CONSIDERATO</w:t>
      </w:r>
    </w:p>
    <w:p w14:paraId="49B1333E" w14:textId="17828D7A"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1.1. Il primo dei quesiti che la Sezione è chiamata ad affrontare attiene alla possibilità di destinare al fondo per il lavoro straordinario una quota dei proventi delle sanzioni amministrative previste dal Codice della strada (d.lgs. 30 aprile 1992, n. 285) per la retribuzione del personale addetto ai servizi di polizia locale.</w:t>
      </w:r>
    </w:p>
    <w:p w14:paraId="2E07A43F" w14:textId="2308D7F5"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In particolare, la Sezione regionale di controllo per la Lombardia chiede di conoscere se per effetto delle disposizioni contenute nell’art. 208 del vigente Codice della strada</w:t>
      </w:r>
      <w:r w:rsidR="00FC26B0">
        <w:rPr>
          <w:rFonts w:ascii="Book Antiqua" w:hAnsi="Book Antiqua"/>
          <w:szCs w:val="22"/>
        </w:rPr>
        <w:t>,</w:t>
      </w:r>
      <w:r>
        <w:rPr>
          <w:rFonts w:ascii="Book Antiqua" w:hAnsi="Book Antiqua"/>
          <w:szCs w:val="22"/>
        </w:rPr>
        <w:t xml:space="preserve"> che</w:t>
      </w:r>
      <w:r w:rsidRPr="00AD7B50">
        <w:rPr>
          <w:rFonts w:ascii="Book Antiqua" w:hAnsi="Book Antiqua"/>
          <w:szCs w:val="22"/>
        </w:rPr>
        <w:t xml:space="preserve"> destina</w:t>
      </w:r>
      <w:r>
        <w:rPr>
          <w:rFonts w:ascii="Book Antiqua" w:hAnsi="Book Antiqua"/>
          <w:szCs w:val="22"/>
        </w:rPr>
        <w:t>no</w:t>
      </w:r>
      <w:r w:rsidRPr="00AD7B50">
        <w:rPr>
          <w:rFonts w:ascii="Book Antiqua" w:hAnsi="Book Antiqua"/>
          <w:szCs w:val="22"/>
        </w:rPr>
        <w:t xml:space="preserve"> risorse al finanziamento di progetti di potenziamento dei servizi di controllo finalizzati alla sicurezza urbana e stradale, sia possibile incrementare il fondo per il lavoro straordinario con i </w:t>
      </w:r>
      <w:r>
        <w:rPr>
          <w:rFonts w:ascii="Book Antiqua" w:hAnsi="Book Antiqua"/>
          <w:szCs w:val="22"/>
        </w:rPr>
        <w:t xml:space="preserve">predetti </w:t>
      </w:r>
      <w:r w:rsidRPr="00AD7B50">
        <w:rPr>
          <w:rFonts w:ascii="Book Antiqua" w:hAnsi="Book Antiqua"/>
          <w:szCs w:val="22"/>
        </w:rPr>
        <w:t>proventi, in quanto da ritenere connessi, ai sensi dell’art. 14, comma 2, del CCNL del comparto Regioni e Autonomie locali sottoscritto il 1° aprile 1999, “</w:t>
      </w:r>
      <w:r w:rsidRPr="00AD7B50">
        <w:rPr>
          <w:rFonts w:ascii="Book Antiqua" w:hAnsi="Book Antiqua"/>
          <w:i/>
          <w:szCs w:val="22"/>
        </w:rPr>
        <w:t>alla tutela di particolari attività, ed in particolare di quelle elettorali, nonché alla necessità di fronteggiare eventi eccezionali</w:t>
      </w:r>
      <w:r w:rsidRPr="00AD7B50">
        <w:rPr>
          <w:rFonts w:ascii="Book Antiqua" w:hAnsi="Book Antiqua"/>
          <w:szCs w:val="22"/>
        </w:rPr>
        <w:t>”.</w:t>
      </w:r>
    </w:p>
    <w:p w14:paraId="7634CCBD" w14:textId="77777777"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 xml:space="preserve">In punto di ammissibilità, può osservarsi che le problematiche riassunte nella questione di massima attengono alla contabilità pubblica ed alla corretta gestione della spesa per quanto involge il regime di destinazione dei proventi previsti dall’art. 208 del d.lgs. n. 285/1992. </w:t>
      </w:r>
    </w:p>
    <w:p w14:paraId="629F7647" w14:textId="77777777"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 xml:space="preserve">Non può, invece, costituire oggetto dell’attività nomofilattica di questa Sezione l’ambito interpretativo della questione che verte sulle modalità applicative di talune disposizioni di fonte contrattuale, esulando dalla funzione consultiva intestata a questa Corte la definizione del significato delle clausole controverse della contrattazione collettiva nazionale, per le quali opera una compiuta disciplina prevista dal d.lgs. 30 marzo 2001, n. 165, recante norme generali sull'ordinamento del lavoro alle dipendenze delle Amministrazioni pubbliche. </w:t>
      </w:r>
    </w:p>
    <w:p w14:paraId="1A89794E" w14:textId="4D3C6D23"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L’art. 46</w:t>
      </w:r>
      <w:r w:rsidR="00240882">
        <w:rPr>
          <w:rFonts w:ascii="Book Antiqua" w:hAnsi="Book Antiqua"/>
          <w:szCs w:val="22"/>
        </w:rPr>
        <w:t xml:space="preserve"> del Testo unico</w:t>
      </w:r>
      <w:r w:rsidRPr="00AD7B50">
        <w:rPr>
          <w:rFonts w:ascii="Book Antiqua" w:hAnsi="Book Antiqua"/>
          <w:szCs w:val="22"/>
        </w:rPr>
        <w:t>, infatti, assegna all’ARAN, legale rappresentante delle Pubbliche amministrazioni, compiti di assistenza “</w:t>
      </w:r>
      <w:r w:rsidRPr="00AD7B50">
        <w:rPr>
          <w:rFonts w:ascii="Book Antiqua" w:hAnsi="Book Antiqua"/>
          <w:i/>
          <w:szCs w:val="22"/>
        </w:rPr>
        <w:t>ai fini dell’uniforme applicazione dei contratti collettivi</w:t>
      </w:r>
      <w:r w:rsidRPr="00AD7B50">
        <w:rPr>
          <w:rFonts w:ascii="Book Antiqua" w:hAnsi="Book Antiqua"/>
          <w:szCs w:val="22"/>
        </w:rPr>
        <w:t>”, mentre l’art. 49 affida ad un’apposita procedura</w:t>
      </w:r>
      <w:r w:rsidR="00240882">
        <w:rPr>
          <w:rFonts w:ascii="Book Antiqua" w:hAnsi="Book Antiqua"/>
          <w:szCs w:val="22"/>
        </w:rPr>
        <w:t xml:space="preserve"> tra le parti</w:t>
      </w:r>
      <w:r w:rsidRPr="00AD7B50">
        <w:rPr>
          <w:rFonts w:ascii="Book Antiqua" w:hAnsi="Book Antiqua"/>
          <w:szCs w:val="22"/>
        </w:rPr>
        <w:t xml:space="preserve"> (l’accordo di interpretazione autentica) la definizione consensuale del significato delle clausole controverse. A</w:t>
      </w:r>
      <w:r>
        <w:rPr>
          <w:rFonts w:ascii="Book Antiqua" w:hAnsi="Book Antiqua"/>
          <w:szCs w:val="22"/>
        </w:rPr>
        <w:t>lle</w:t>
      </w:r>
      <w:r w:rsidRPr="00AD7B50">
        <w:rPr>
          <w:rFonts w:ascii="Book Antiqua" w:hAnsi="Book Antiqua"/>
          <w:szCs w:val="22"/>
        </w:rPr>
        <w:t xml:space="preserve"> dette procedure può interporsi il potere del Giudice del lavoro di conoscere incidentalmente, ai sensi dell’art. 420-</w:t>
      </w:r>
      <w:r w:rsidRPr="00AD7B50">
        <w:rPr>
          <w:rFonts w:ascii="Book Antiqua" w:hAnsi="Book Antiqua"/>
          <w:i/>
          <w:szCs w:val="22"/>
        </w:rPr>
        <w:t>bis</w:t>
      </w:r>
      <w:r w:rsidRPr="00AD7B50">
        <w:rPr>
          <w:rFonts w:ascii="Book Antiqua" w:hAnsi="Book Antiqua"/>
          <w:szCs w:val="22"/>
        </w:rPr>
        <w:t xml:space="preserve"> c.p.c., della loro efficacia, validità o interpretazione in sede di definizione delle controversie.</w:t>
      </w:r>
    </w:p>
    <w:p w14:paraId="26FF7450" w14:textId="4328A964" w:rsidR="00AD7B50" w:rsidRPr="00AD7B50" w:rsidRDefault="00E47130" w:rsidP="00AD7B50">
      <w:pPr>
        <w:shd w:val="clear" w:color="auto" w:fill="FFFFFF"/>
        <w:spacing w:after="120" w:line="340" w:lineRule="exact"/>
        <w:ind w:firstLine="0"/>
        <w:jc w:val="both"/>
        <w:rPr>
          <w:rFonts w:ascii="Book Antiqua" w:hAnsi="Book Antiqua"/>
          <w:szCs w:val="22"/>
        </w:rPr>
      </w:pPr>
      <w:r>
        <w:rPr>
          <w:rFonts w:ascii="Book Antiqua" w:hAnsi="Book Antiqua"/>
          <w:szCs w:val="22"/>
        </w:rPr>
        <w:t>Nonostante ciò</w:t>
      </w:r>
      <w:r w:rsidR="00AD7B50" w:rsidRPr="00AD7B50">
        <w:rPr>
          <w:rFonts w:ascii="Book Antiqua" w:hAnsi="Book Antiqua"/>
          <w:szCs w:val="22"/>
        </w:rPr>
        <w:t xml:space="preserve">, i </w:t>
      </w:r>
      <w:r>
        <w:rPr>
          <w:rFonts w:ascii="Book Antiqua" w:hAnsi="Book Antiqua"/>
          <w:szCs w:val="22"/>
        </w:rPr>
        <w:t xml:space="preserve">predetti </w:t>
      </w:r>
      <w:r w:rsidR="00AD7B50" w:rsidRPr="00AD7B50">
        <w:rPr>
          <w:rFonts w:ascii="Book Antiqua" w:hAnsi="Book Antiqua"/>
          <w:szCs w:val="22"/>
        </w:rPr>
        <w:t>profili di inammissibilità non possono esimere la Sezione dall’affrontare nel merito il quesito prospettato nei limiti in cui l</w:t>
      </w:r>
      <w:r w:rsidR="00CF3C5D">
        <w:rPr>
          <w:rFonts w:ascii="Book Antiqua" w:hAnsi="Book Antiqua"/>
          <w:szCs w:val="22"/>
        </w:rPr>
        <w:t xml:space="preserve">a mera </w:t>
      </w:r>
      <w:r w:rsidR="00AD7B50" w:rsidRPr="00AD7B50">
        <w:rPr>
          <w:rFonts w:ascii="Book Antiqua" w:hAnsi="Book Antiqua"/>
          <w:szCs w:val="22"/>
        </w:rPr>
        <w:t xml:space="preserve">enunciazione delle disposizioni contrattuali sia strumentale alla definizione dell’ambito applicativo del vincolo </w:t>
      </w:r>
      <w:r w:rsidR="00AD7B50" w:rsidRPr="00AD7B50">
        <w:rPr>
          <w:rFonts w:ascii="Book Antiqua" w:hAnsi="Book Antiqua"/>
          <w:szCs w:val="22"/>
        </w:rPr>
        <w:lastRenderedPageBreak/>
        <w:t>di destinazione previsto dall’art. 208 con riferimento al finanziamento della spesa per il personale della polizia locale.</w:t>
      </w:r>
    </w:p>
    <w:p w14:paraId="311DE5C6" w14:textId="2FC3ECFA"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1.2. Per quanto attiene al merito della prima questione, va rammentato che, per regola generale, gli oneri per i compensi delle prestazioni di lavoro straordinario devono trovare copertura esclusivamente nello specifico fondo costituito ai sensi del</w:t>
      </w:r>
      <w:r w:rsidR="00E47130">
        <w:rPr>
          <w:rFonts w:ascii="Book Antiqua" w:hAnsi="Book Antiqua"/>
          <w:szCs w:val="22"/>
        </w:rPr>
        <w:t xml:space="preserve"> richiamato </w:t>
      </w:r>
      <w:r w:rsidRPr="00AD7B50">
        <w:rPr>
          <w:rFonts w:ascii="Book Antiqua" w:hAnsi="Book Antiqua"/>
          <w:szCs w:val="22"/>
        </w:rPr>
        <w:t>art.</w:t>
      </w:r>
      <w:r w:rsidR="00CF3C5D">
        <w:rPr>
          <w:rFonts w:ascii="Book Antiqua" w:hAnsi="Book Antiqua"/>
          <w:szCs w:val="22"/>
        </w:rPr>
        <w:t xml:space="preserve"> </w:t>
      </w:r>
      <w:r w:rsidRPr="00AD7B50">
        <w:rPr>
          <w:rFonts w:ascii="Book Antiqua" w:hAnsi="Book Antiqua"/>
          <w:szCs w:val="22"/>
        </w:rPr>
        <w:t>14 del CCNL 1° aprile 1999, le cui risorse, tuttavia, potrebbero essere integrate, stando al disposto del secondo comma, “</w:t>
      </w:r>
      <w:r w:rsidRPr="00CF3C5D">
        <w:rPr>
          <w:rFonts w:ascii="Book Antiqua" w:hAnsi="Book Antiqua"/>
          <w:i/>
          <w:szCs w:val="22"/>
        </w:rPr>
        <w:t>con le disponibilità derivanti da specifiche disposizioni di legge connesse alla tutela di particolari attività, ed in particolare di quelle elettorali, nonché alla necessità di fronteggiare eventi eccezionali</w:t>
      </w:r>
      <w:r w:rsidRPr="00AD7B50">
        <w:rPr>
          <w:rFonts w:ascii="Book Antiqua" w:hAnsi="Book Antiqua"/>
          <w:szCs w:val="22"/>
        </w:rPr>
        <w:t xml:space="preserve">”. </w:t>
      </w:r>
    </w:p>
    <w:p w14:paraId="6304A60F" w14:textId="1269C687"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Se non possono, quindi, essere utilizzati per il pagamento del lavoro straordinario del personale né i finanziamenti del fondo per le risorse decentrate (parere ARAN n. 1657/2014) e neppure le eventuali economie di spesa derivanti, nel medesimo anno, dai vari istituti del trattamento economico accessorio (ARAN n. 1290/2012), la questione in esame si risolve nello stabilire se l’art. 208, nel destinare risorse al finanziamento di progetti di potenziamento dei servizi di controllo finalizzati alla sicurezza urbana e stradale, abbia inteso tutelare la circolazione stradale con lo scopo precipuo di impiegare il personale di polizia locale in servizi di controllo da espletarsi al di fuori degli ordinari orari di lavoro.</w:t>
      </w:r>
    </w:p>
    <w:p w14:paraId="44637214" w14:textId="77777777"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Per accertare la coerenza di tale finalità normativa, è necessario premettere che, secondo quanto stabilito dall’art. 38, comma 1, del CCNL comparto Regioni-Autonomie locali del 14 settembre 2000, le prestazioni di lavoro straordinario “</w:t>
      </w:r>
      <w:r w:rsidRPr="00CF3C5D">
        <w:rPr>
          <w:rFonts w:ascii="Book Antiqua" w:hAnsi="Book Antiqua"/>
          <w:i/>
          <w:szCs w:val="22"/>
        </w:rPr>
        <w:t>sono rivolte a fronteggiare situazioni di lavoro eccezionali e pertanto non possono essere utilizzate come fattore ordinario di programmazione del tempo di lavoro e di copertura dell'orario di lavoro</w:t>
      </w:r>
      <w:r w:rsidRPr="00AD7B50">
        <w:rPr>
          <w:rFonts w:ascii="Book Antiqua" w:hAnsi="Book Antiqua"/>
          <w:szCs w:val="22"/>
        </w:rPr>
        <w:t xml:space="preserve">”. Diversamente, una richiesta continuativa o abituale di prestazioni di lavoro straordinario si tradurrebbe in un ampliamento dell’orario ordinario di lavoro, vanificando, di fatto, il limite contrattualmente stabilito per quest’ultimo. </w:t>
      </w:r>
    </w:p>
    <w:p w14:paraId="361C40EF" w14:textId="14A10F5D"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Di qui la necessità di fare ricorso al lavoro straordinario in situazioni di carattere straordinario o eccezionale, le sole che</w:t>
      </w:r>
      <w:r w:rsidR="00CF3C5D">
        <w:rPr>
          <w:rFonts w:ascii="Book Antiqua" w:hAnsi="Book Antiqua"/>
          <w:szCs w:val="22"/>
        </w:rPr>
        <w:t>,</w:t>
      </w:r>
      <w:r w:rsidRPr="00AD7B50">
        <w:rPr>
          <w:rFonts w:ascii="Book Antiqua" w:hAnsi="Book Antiqua"/>
          <w:szCs w:val="22"/>
        </w:rPr>
        <w:t xml:space="preserve"> in quanto imprevedibili</w:t>
      </w:r>
      <w:r w:rsidR="00CF3C5D">
        <w:rPr>
          <w:rFonts w:ascii="Book Antiqua" w:hAnsi="Book Antiqua"/>
          <w:szCs w:val="22"/>
        </w:rPr>
        <w:t>,</w:t>
      </w:r>
      <w:r w:rsidRPr="00AD7B50">
        <w:rPr>
          <w:rFonts w:ascii="Book Antiqua" w:hAnsi="Book Antiqua"/>
          <w:szCs w:val="22"/>
        </w:rPr>
        <w:t xml:space="preserve"> non sono suscettibili di essere programmate dal datore di lavoro e che giustificano una richiesta di prestazioni di lavoro ulteriori ed aggiuntive rispetto a quelle dovute nell'ambito dell'orario di lavoro contrattualmente stabilito (parere ARAN n. 1677/2014).</w:t>
      </w:r>
    </w:p>
    <w:p w14:paraId="74F3D83A" w14:textId="4D1B3D8C"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1.3.  In quest’ottica, le supposte finalità dell’art. 208 mal si concili</w:t>
      </w:r>
      <w:r w:rsidR="00CF3C5D">
        <w:rPr>
          <w:rFonts w:ascii="Book Antiqua" w:hAnsi="Book Antiqua"/>
          <w:szCs w:val="22"/>
        </w:rPr>
        <w:t>ano</w:t>
      </w:r>
      <w:r w:rsidRPr="00AD7B50">
        <w:rPr>
          <w:rFonts w:ascii="Book Antiqua" w:hAnsi="Book Antiqua"/>
          <w:szCs w:val="22"/>
        </w:rPr>
        <w:t xml:space="preserve"> con gli obiettivi del fondo per il lavoro straordinario, poiché la norma, piuttosto che fronteggiare circostanze imprevedibili ed eccezionali, mira ad attuare </w:t>
      </w:r>
      <w:r w:rsidR="00AB0BB6">
        <w:rPr>
          <w:rFonts w:ascii="Book Antiqua" w:hAnsi="Book Antiqua"/>
          <w:szCs w:val="22"/>
        </w:rPr>
        <w:t>il potenziamento</w:t>
      </w:r>
      <w:r w:rsidRPr="00AD7B50">
        <w:rPr>
          <w:rFonts w:ascii="Book Antiqua" w:hAnsi="Book Antiqua"/>
          <w:szCs w:val="22"/>
        </w:rPr>
        <w:t xml:space="preserve"> </w:t>
      </w:r>
      <w:r w:rsidR="00CF3C5D" w:rsidRPr="00AD7B50">
        <w:rPr>
          <w:rFonts w:ascii="Book Antiqua" w:hAnsi="Book Antiqua"/>
          <w:szCs w:val="22"/>
        </w:rPr>
        <w:t xml:space="preserve">quantitativo </w:t>
      </w:r>
      <w:r w:rsidRPr="00AD7B50">
        <w:rPr>
          <w:rFonts w:ascii="Book Antiqua" w:hAnsi="Book Antiqua"/>
          <w:szCs w:val="22"/>
        </w:rPr>
        <w:t xml:space="preserve">e </w:t>
      </w:r>
      <w:r w:rsidR="00CF3C5D" w:rsidRPr="00AD7B50">
        <w:rPr>
          <w:rFonts w:ascii="Book Antiqua" w:hAnsi="Book Antiqua"/>
          <w:szCs w:val="22"/>
        </w:rPr>
        <w:t xml:space="preserve">qualitativo </w:t>
      </w:r>
      <w:r w:rsidRPr="00AD7B50">
        <w:rPr>
          <w:rFonts w:ascii="Book Antiqua" w:hAnsi="Book Antiqua"/>
          <w:szCs w:val="22"/>
        </w:rPr>
        <w:t xml:space="preserve">dei servizi di controllo stradale mediante </w:t>
      </w:r>
      <w:r w:rsidR="00AB0BB6">
        <w:rPr>
          <w:rFonts w:ascii="Book Antiqua" w:hAnsi="Book Antiqua"/>
          <w:szCs w:val="22"/>
        </w:rPr>
        <w:t xml:space="preserve">una più efficace </w:t>
      </w:r>
      <w:r w:rsidR="00AB0BB6" w:rsidRPr="00AD7B50">
        <w:rPr>
          <w:rFonts w:ascii="Book Antiqua" w:hAnsi="Book Antiqua"/>
          <w:szCs w:val="22"/>
        </w:rPr>
        <w:t>progett</w:t>
      </w:r>
      <w:r w:rsidR="00AB0BB6">
        <w:rPr>
          <w:rFonts w:ascii="Book Antiqua" w:hAnsi="Book Antiqua"/>
          <w:szCs w:val="22"/>
        </w:rPr>
        <w:t>azione</w:t>
      </w:r>
      <w:r w:rsidRPr="00AD7B50">
        <w:rPr>
          <w:rFonts w:ascii="Book Antiqua" w:hAnsi="Book Antiqua"/>
          <w:szCs w:val="22"/>
        </w:rPr>
        <w:t xml:space="preserve"> della </w:t>
      </w:r>
      <w:r w:rsidRPr="00CF3C5D">
        <w:rPr>
          <w:rFonts w:ascii="Book Antiqua" w:hAnsi="Book Antiqua"/>
          <w:i/>
          <w:szCs w:val="22"/>
        </w:rPr>
        <w:t>performance</w:t>
      </w:r>
      <w:r w:rsidRPr="00AD7B50">
        <w:rPr>
          <w:rFonts w:ascii="Book Antiqua" w:hAnsi="Book Antiqua"/>
          <w:szCs w:val="22"/>
        </w:rPr>
        <w:t xml:space="preserve"> organizzativa e individuale.</w:t>
      </w:r>
    </w:p>
    <w:p w14:paraId="49BB2D3E" w14:textId="77777777"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 xml:space="preserve">L’art. 208 stabilisce, infatti, che i proventi delle sanzioni amministrative pecuniarie per le violazioni al Codice della strada, devoluti a Regioni, Province e Comuni secondo l’appartenenza dei funzionari, ufficiali ed agenti che hanno accertato le violazioni, devono essere destinati, per almeno la metà, a tre specifiche finalità individuate dalla legge, tra le </w:t>
      </w:r>
      <w:r w:rsidRPr="00AD7B50">
        <w:rPr>
          <w:rFonts w:ascii="Book Antiqua" w:hAnsi="Book Antiqua"/>
          <w:szCs w:val="22"/>
        </w:rPr>
        <w:lastRenderedPageBreak/>
        <w:t>quali figura il miglioramento della sicurezza stradale. Tra le molteplici misure attuative che è possibile finanziare a quest’ultimo scopo, il comma 5-</w:t>
      </w:r>
      <w:r w:rsidRPr="00AB0BB6">
        <w:rPr>
          <w:rFonts w:ascii="Book Antiqua" w:hAnsi="Book Antiqua"/>
          <w:i/>
          <w:szCs w:val="22"/>
        </w:rPr>
        <w:t>bis</w:t>
      </w:r>
      <w:r w:rsidRPr="00AD7B50">
        <w:rPr>
          <w:rFonts w:ascii="Book Antiqua" w:hAnsi="Book Antiqua"/>
          <w:szCs w:val="22"/>
        </w:rPr>
        <w:t>, introdotto dall’art. 40 della legge 29 luglio 2010, n. 120, ne ha aggiunte di nuove, tra cui anche i “</w:t>
      </w:r>
      <w:r w:rsidRPr="00AB0BB6">
        <w:rPr>
          <w:rFonts w:ascii="Book Antiqua" w:hAnsi="Book Antiqua"/>
          <w:i/>
          <w:szCs w:val="22"/>
        </w:rPr>
        <w:t>progetti di potenziamento dei servizi di controllo finalizzati alla sicurezza urbana e alla sicurezza stradale</w:t>
      </w:r>
      <w:r w:rsidRPr="00AD7B50">
        <w:rPr>
          <w:rFonts w:ascii="Book Antiqua" w:hAnsi="Book Antiqua"/>
          <w:szCs w:val="22"/>
        </w:rPr>
        <w:t>”.</w:t>
      </w:r>
    </w:p>
    <w:p w14:paraId="2CC38D40" w14:textId="77777777"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Il riferimento ad una generica attività progettuale finalizzata al contestuale miglioramento della sicurezza sia urbana che stradale, esclude quel collegamento diretto e puntuale con la “</w:t>
      </w:r>
      <w:r w:rsidRPr="00AB0BB6">
        <w:rPr>
          <w:rFonts w:ascii="Book Antiqua" w:hAnsi="Book Antiqua"/>
          <w:i/>
          <w:szCs w:val="22"/>
        </w:rPr>
        <w:t>tutela di particolari attività</w:t>
      </w:r>
      <w:r w:rsidRPr="00AD7B50">
        <w:rPr>
          <w:rFonts w:ascii="Book Antiqua" w:hAnsi="Book Antiqua"/>
          <w:szCs w:val="22"/>
        </w:rPr>
        <w:t>” o con la “</w:t>
      </w:r>
      <w:r w:rsidRPr="00AB0BB6">
        <w:rPr>
          <w:rFonts w:ascii="Book Antiqua" w:hAnsi="Book Antiqua"/>
          <w:i/>
          <w:szCs w:val="22"/>
        </w:rPr>
        <w:t>necessità di fronteggiare eventi eccezionali</w:t>
      </w:r>
      <w:r w:rsidRPr="00AD7B50">
        <w:rPr>
          <w:rFonts w:ascii="Book Antiqua" w:hAnsi="Book Antiqua"/>
          <w:szCs w:val="22"/>
        </w:rPr>
        <w:t>” richiesto dall’art. 14 del CCNL 1° aprile 1999 per integrare le risorse del fondo per il lavoro straordinario.</w:t>
      </w:r>
    </w:p>
    <w:p w14:paraId="650E8F0A" w14:textId="77777777"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 xml:space="preserve">Peraltro, la scelta di una tipica attività di programmazione (quale è, appunto, il progetto) si pone in antitesi con le stesse finalità indicate dall’art. 38 del CCNL 14 settembre 2000, che ha voluto riconoscere al lavoro straordinario un carattere </w:t>
      </w:r>
      <w:proofErr w:type="spellStart"/>
      <w:r w:rsidRPr="00AB0BB6">
        <w:rPr>
          <w:rFonts w:ascii="Book Antiqua" w:hAnsi="Book Antiqua"/>
          <w:i/>
          <w:szCs w:val="22"/>
        </w:rPr>
        <w:t>extraordinem</w:t>
      </w:r>
      <w:proofErr w:type="spellEnd"/>
      <w:r w:rsidRPr="00AD7B50">
        <w:rPr>
          <w:rFonts w:ascii="Book Antiqua" w:hAnsi="Book Antiqua"/>
          <w:szCs w:val="22"/>
        </w:rPr>
        <w:t>, insuscettibile di essere utilizzato “</w:t>
      </w:r>
      <w:r w:rsidRPr="00AB0BB6">
        <w:rPr>
          <w:rFonts w:ascii="Book Antiqua" w:hAnsi="Book Antiqua"/>
          <w:i/>
          <w:szCs w:val="22"/>
        </w:rPr>
        <w:t>come fattore ordinario di programmazione del tempo di lavoro e di copertura dell'orario di lavoro</w:t>
      </w:r>
      <w:r w:rsidRPr="00AD7B50">
        <w:rPr>
          <w:rFonts w:ascii="Book Antiqua" w:hAnsi="Book Antiqua"/>
          <w:szCs w:val="22"/>
        </w:rPr>
        <w:t>”.</w:t>
      </w:r>
    </w:p>
    <w:p w14:paraId="7A9254B6" w14:textId="01BC503F"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 xml:space="preserve">Vi è da considerare, </w:t>
      </w:r>
      <w:r w:rsidR="00AB0BB6">
        <w:rPr>
          <w:rFonts w:ascii="Book Antiqua" w:hAnsi="Book Antiqua"/>
          <w:szCs w:val="22"/>
        </w:rPr>
        <w:t>altresì</w:t>
      </w:r>
      <w:r w:rsidRPr="00AD7B50">
        <w:rPr>
          <w:rFonts w:ascii="Book Antiqua" w:hAnsi="Book Antiqua"/>
          <w:szCs w:val="22"/>
        </w:rPr>
        <w:t>, che l’esistenza di una specifica destinazione delle risorse dell’art. 208 a beneficio del personale della polizia locale risulta, esclusivamente, dal nuovo CCNL del personale del comparto “Funzioni locali”, sottoscritto il 21 maggio 2018, il quale, all’art. 56-</w:t>
      </w:r>
      <w:r w:rsidRPr="00AB0BB6">
        <w:rPr>
          <w:rFonts w:ascii="Book Antiqua" w:hAnsi="Book Antiqua"/>
          <w:i/>
          <w:szCs w:val="22"/>
        </w:rPr>
        <w:t>quater</w:t>
      </w:r>
      <w:r w:rsidRPr="00AD7B50">
        <w:rPr>
          <w:rFonts w:ascii="Book Antiqua" w:hAnsi="Book Antiqua"/>
          <w:szCs w:val="22"/>
        </w:rPr>
        <w:t>, comma 1, lett. c), stabilisce che i proventi delle sanzioni amministrative possono essere destinati alla erogazione di “</w:t>
      </w:r>
      <w:r w:rsidRPr="00AB0BB6">
        <w:rPr>
          <w:rFonts w:ascii="Book Antiqua" w:hAnsi="Book Antiqua"/>
          <w:i/>
          <w:szCs w:val="22"/>
        </w:rPr>
        <w:t>incentivi monetari</w:t>
      </w:r>
      <w:r w:rsidRPr="00AD7B50">
        <w:rPr>
          <w:rFonts w:ascii="Book Antiqua" w:hAnsi="Book Antiqua"/>
          <w:szCs w:val="22"/>
        </w:rPr>
        <w:t>” collegati a obiettivi di potenziamento dei servizi di controllo finalizzati alla sicurezza urbana e stradale. Tale vincolo di destinazione, tuttavia, non è a valere del fondo per il lavoro straordinario, ma del “Fondo risorse decentrate”, come previsto dall’art. 67, comma 3, lett. i).</w:t>
      </w:r>
    </w:p>
    <w:p w14:paraId="5AC8C167" w14:textId="0B7E3F44" w:rsid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Per i predetti motivi, la quota dei proventi delle sanzioni amministrative risultanti dalla violazione del Codice della strada, che gli enti possono destinare al miglioramento della sicurezza stradale, non può integrare il fondo per il lavoro straordinario in quanto</w:t>
      </w:r>
      <w:r w:rsidR="00A3227D">
        <w:rPr>
          <w:rFonts w:ascii="Book Antiqua" w:hAnsi="Book Antiqua"/>
          <w:szCs w:val="22"/>
        </w:rPr>
        <w:t xml:space="preserve"> tale quota di proventi contravvenzionali</w:t>
      </w:r>
      <w:r w:rsidRPr="00AD7B50">
        <w:rPr>
          <w:rFonts w:ascii="Book Antiqua" w:hAnsi="Book Antiqua"/>
          <w:szCs w:val="22"/>
        </w:rPr>
        <w:t xml:space="preserve"> confluisce nel “Fondo risorse decentrate” per la parte destinata agli incentivi monetari del personale della polizia locale impegnato in progetti di potenziamento dei servizi di controllo finalizzati alla sicurezza urbana e stradale.</w:t>
      </w:r>
    </w:p>
    <w:p w14:paraId="4DDE590B" w14:textId="482F7B1A" w:rsidR="00532D99" w:rsidRDefault="00A3227D" w:rsidP="00AD7B50">
      <w:pPr>
        <w:shd w:val="clear" w:color="auto" w:fill="FFFFFF"/>
        <w:spacing w:after="120" w:line="340" w:lineRule="exact"/>
        <w:ind w:firstLine="0"/>
        <w:jc w:val="both"/>
        <w:rPr>
          <w:rFonts w:ascii="Book Antiqua" w:hAnsi="Book Antiqua"/>
          <w:szCs w:val="22"/>
        </w:rPr>
      </w:pPr>
      <w:r>
        <w:rPr>
          <w:rFonts w:ascii="Book Antiqua" w:hAnsi="Book Antiqua"/>
          <w:szCs w:val="22"/>
        </w:rPr>
        <w:t>La suddetta</w:t>
      </w:r>
      <w:r w:rsidR="00532D99">
        <w:rPr>
          <w:rFonts w:ascii="Book Antiqua" w:hAnsi="Book Antiqua"/>
          <w:szCs w:val="22"/>
        </w:rPr>
        <w:t xml:space="preserve"> linea interpretativa, coerente con le finalità di incentivazione </w:t>
      </w:r>
      <w:r w:rsidR="003F7D25">
        <w:rPr>
          <w:rFonts w:ascii="Book Antiqua" w:hAnsi="Book Antiqua"/>
          <w:szCs w:val="22"/>
        </w:rPr>
        <w:t>della produttività e del merito sottese alla norma,</w:t>
      </w:r>
      <w:r w:rsidR="00532D99">
        <w:rPr>
          <w:rFonts w:ascii="Book Antiqua" w:hAnsi="Book Antiqua"/>
          <w:szCs w:val="22"/>
        </w:rPr>
        <w:t xml:space="preserve"> è conforme </w:t>
      </w:r>
      <w:r w:rsidR="00532D99" w:rsidRPr="00D2008A">
        <w:rPr>
          <w:rFonts w:ascii="Book Antiqua" w:hAnsi="Book Antiqua"/>
          <w:szCs w:val="22"/>
        </w:rPr>
        <w:t>al</w:t>
      </w:r>
      <w:r w:rsidR="0061300E">
        <w:rPr>
          <w:rFonts w:ascii="Book Antiqua" w:hAnsi="Book Antiqua"/>
          <w:szCs w:val="22"/>
        </w:rPr>
        <w:t>l’</w:t>
      </w:r>
      <w:r w:rsidR="003F7D25" w:rsidRPr="00D2008A">
        <w:rPr>
          <w:rFonts w:ascii="Book Antiqua" w:hAnsi="Book Antiqua"/>
          <w:szCs w:val="22"/>
        </w:rPr>
        <w:t>indirizzo giurisprudenziale delle Sezioni regionali di controllo sviluppatosi successivamente alle modifiche apportate all’art. 208 dalla legge 29 luglio 2010, n.120, giacché prima dell’intervento riformatore l’opinione prevalente escludeva la stessa legittimità dell’utilizzo</w:t>
      </w:r>
      <w:r w:rsidR="003F7D25" w:rsidRPr="003F7D25">
        <w:rPr>
          <w:rFonts w:ascii="Book Antiqua" w:hAnsi="Book Antiqua"/>
          <w:szCs w:val="22"/>
        </w:rPr>
        <w:t xml:space="preserve"> dei proventi contravvenzionali per finalità di incentivazione del personale di polizia municipale in manca</w:t>
      </w:r>
      <w:r w:rsidR="003F7D25">
        <w:rPr>
          <w:rFonts w:ascii="Book Antiqua" w:hAnsi="Book Antiqua"/>
          <w:szCs w:val="22"/>
        </w:rPr>
        <w:t>nza di</w:t>
      </w:r>
      <w:r w:rsidR="003F7D25" w:rsidRPr="003F7D25">
        <w:rPr>
          <w:rFonts w:ascii="Book Antiqua" w:hAnsi="Book Antiqua"/>
          <w:szCs w:val="22"/>
        </w:rPr>
        <w:t xml:space="preserve"> una norma di legge che contemplasse, in modo diretto e puntuale, le risorse da impiegare per scopi premia</w:t>
      </w:r>
      <w:r w:rsidR="003F7D25">
        <w:rPr>
          <w:rFonts w:ascii="Book Antiqua" w:hAnsi="Book Antiqua"/>
          <w:szCs w:val="22"/>
        </w:rPr>
        <w:t>li</w:t>
      </w:r>
      <w:r w:rsidR="00987D22">
        <w:rPr>
          <w:rFonts w:ascii="Book Antiqua" w:hAnsi="Book Antiqua"/>
          <w:szCs w:val="22"/>
        </w:rPr>
        <w:t xml:space="preserve"> (cfr. Sezione Puglia, parere n. </w:t>
      </w:r>
      <w:r w:rsidR="00D2008A" w:rsidRPr="00D2008A">
        <w:rPr>
          <w:rFonts w:ascii="Book Antiqua" w:hAnsi="Book Antiqua"/>
          <w:szCs w:val="22"/>
        </w:rPr>
        <w:t>47/PAR/2011</w:t>
      </w:r>
      <w:r w:rsidR="00D2008A">
        <w:rPr>
          <w:rFonts w:ascii="Book Antiqua" w:hAnsi="Book Antiqua"/>
          <w:szCs w:val="22"/>
        </w:rPr>
        <w:t>)</w:t>
      </w:r>
      <w:r w:rsidR="003F7D25">
        <w:rPr>
          <w:rFonts w:ascii="Book Antiqua" w:hAnsi="Book Antiqua"/>
          <w:szCs w:val="22"/>
        </w:rPr>
        <w:t>.</w:t>
      </w:r>
    </w:p>
    <w:p w14:paraId="1001DBC4" w14:textId="4A0FD6E9" w:rsidR="003F7D25" w:rsidRPr="00AD7B50" w:rsidRDefault="003F7D25" w:rsidP="00AD7B50">
      <w:pPr>
        <w:shd w:val="clear" w:color="auto" w:fill="FFFFFF"/>
        <w:spacing w:after="120" w:line="340" w:lineRule="exact"/>
        <w:ind w:firstLine="0"/>
        <w:jc w:val="both"/>
        <w:rPr>
          <w:rFonts w:ascii="Book Antiqua" w:hAnsi="Book Antiqua"/>
          <w:szCs w:val="22"/>
        </w:rPr>
      </w:pPr>
      <w:r>
        <w:rPr>
          <w:rFonts w:ascii="Book Antiqua" w:hAnsi="Book Antiqua"/>
          <w:szCs w:val="22"/>
        </w:rPr>
        <w:t>Al più esteso ambito applicativo dell’art. 208</w:t>
      </w:r>
      <w:r w:rsidR="00781F0B">
        <w:rPr>
          <w:rFonts w:ascii="Book Antiqua" w:hAnsi="Book Antiqua"/>
          <w:szCs w:val="22"/>
        </w:rPr>
        <w:t xml:space="preserve"> si affianca</w:t>
      </w:r>
      <w:r w:rsidR="00276025">
        <w:rPr>
          <w:rFonts w:ascii="Book Antiqua" w:hAnsi="Book Antiqua"/>
          <w:szCs w:val="22"/>
        </w:rPr>
        <w:t>no</w:t>
      </w:r>
      <w:r w:rsidR="00781F0B">
        <w:rPr>
          <w:rFonts w:ascii="Book Antiqua" w:hAnsi="Book Antiqua"/>
          <w:szCs w:val="22"/>
        </w:rPr>
        <w:t xml:space="preserve">, altresì, </w:t>
      </w:r>
      <w:r w:rsidR="009E0D61">
        <w:rPr>
          <w:rFonts w:ascii="Book Antiqua" w:hAnsi="Book Antiqua"/>
          <w:szCs w:val="22"/>
        </w:rPr>
        <w:t xml:space="preserve">due </w:t>
      </w:r>
      <w:r w:rsidR="00E82F2C">
        <w:rPr>
          <w:rFonts w:ascii="Book Antiqua" w:hAnsi="Book Antiqua"/>
          <w:szCs w:val="22"/>
        </w:rPr>
        <w:t>recenti</w:t>
      </w:r>
      <w:r w:rsidR="009E0D61">
        <w:rPr>
          <w:rFonts w:ascii="Book Antiqua" w:hAnsi="Book Antiqua"/>
          <w:szCs w:val="22"/>
        </w:rPr>
        <w:t xml:space="preserve"> istituti a favore del</w:t>
      </w:r>
      <w:r w:rsidR="009E0D61" w:rsidRPr="009E0D61">
        <w:rPr>
          <w:rFonts w:ascii="Book Antiqua" w:hAnsi="Book Antiqua"/>
          <w:szCs w:val="22"/>
        </w:rPr>
        <w:t xml:space="preserve"> personale della polizia locale</w:t>
      </w:r>
      <w:r w:rsidR="009E0D61">
        <w:rPr>
          <w:rFonts w:ascii="Book Antiqua" w:hAnsi="Book Antiqua"/>
          <w:szCs w:val="22"/>
        </w:rPr>
        <w:t>, previsti</w:t>
      </w:r>
      <w:r w:rsidR="00E82F2C">
        <w:rPr>
          <w:rFonts w:ascii="Book Antiqua" w:hAnsi="Book Antiqua"/>
          <w:szCs w:val="22"/>
        </w:rPr>
        <w:t>, da un lato,</w:t>
      </w:r>
      <w:r w:rsidR="009E0D61">
        <w:rPr>
          <w:rFonts w:ascii="Book Antiqua" w:hAnsi="Book Antiqua"/>
          <w:szCs w:val="22"/>
        </w:rPr>
        <w:t xml:space="preserve"> </w:t>
      </w:r>
      <w:r w:rsidR="009E0D61" w:rsidRPr="009E0D61">
        <w:rPr>
          <w:rFonts w:ascii="Book Antiqua" w:hAnsi="Book Antiqua"/>
          <w:szCs w:val="22"/>
        </w:rPr>
        <w:t>dall’art. 2</w:t>
      </w:r>
      <w:r w:rsidR="009E0D61">
        <w:rPr>
          <w:rFonts w:ascii="Book Antiqua" w:hAnsi="Book Antiqua"/>
          <w:szCs w:val="22"/>
        </w:rPr>
        <w:t>2</w:t>
      </w:r>
      <w:r w:rsidR="009E0D61" w:rsidRPr="009E0D61">
        <w:rPr>
          <w:rFonts w:ascii="Book Antiqua" w:hAnsi="Book Antiqua"/>
          <w:szCs w:val="22"/>
        </w:rPr>
        <w:t xml:space="preserve">, comma </w:t>
      </w:r>
      <w:r w:rsidR="009E0D61">
        <w:rPr>
          <w:rFonts w:ascii="Book Antiqua" w:hAnsi="Book Antiqua"/>
          <w:szCs w:val="22"/>
        </w:rPr>
        <w:t>3-</w:t>
      </w:r>
      <w:r w:rsidR="009E0D61" w:rsidRPr="00E82F2C">
        <w:rPr>
          <w:rFonts w:ascii="Book Antiqua" w:hAnsi="Book Antiqua"/>
          <w:i/>
          <w:szCs w:val="22"/>
        </w:rPr>
        <w:t>bis</w:t>
      </w:r>
      <w:r w:rsidR="009E0D61" w:rsidRPr="009E0D61">
        <w:rPr>
          <w:rFonts w:ascii="Book Antiqua" w:hAnsi="Book Antiqua"/>
          <w:szCs w:val="22"/>
        </w:rPr>
        <w:t xml:space="preserve">, del </w:t>
      </w:r>
      <w:proofErr w:type="spellStart"/>
      <w:r w:rsidR="009E0D61" w:rsidRPr="009E0D61">
        <w:rPr>
          <w:rFonts w:ascii="Book Antiqua" w:hAnsi="Book Antiqua"/>
          <w:szCs w:val="22"/>
        </w:rPr>
        <w:t>d.l.</w:t>
      </w:r>
      <w:proofErr w:type="spellEnd"/>
      <w:r w:rsidR="009E0D61" w:rsidRPr="009E0D61">
        <w:rPr>
          <w:rFonts w:ascii="Book Antiqua" w:hAnsi="Book Antiqua"/>
          <w:szCs w:val="22"/>
        </w:rPr>
        <w:t xml:space="preserve"> 24 aprile 2017, n. 50</w:t>
      </w:r>
      <w:r w:rsidR="00E82F2C">
        <w:rPr>
          <w:rFonts w:ascii="Book Antiqua" w:hAnsi="Book Antiqua"/>
          <w:szCs w:val="22"/>
        </w:rPr>
        <w:t xml:space="preserve">, </w:t>
      </w:r>
      <w:r w:rsidR="00E82F2C" w:rsidRPr="00E82F2C">
        <w:rPr>
          <w:rFonts w:ascii="Book Antiqua" w:hAnsi="Book Antiqua"/>
          <w:szCs w:val="22"/>
        </w:rPr>
        <w:t xml:space="preserve">convertito con modificazioni </w:t>
      </w:r>
      <w:r w:rsidR="00E82F2C">
        <w:rPr>
          <w:rFonts w:ascii="Book Antiqua" w:hAnsi="Book Antiqua"/>
          <w:szCs w:val="22"/>
        </w:rPr>
        <w:t>in legge</w:t>
      </w:r>
      <w:r w:rsidR="00E82F2C" w:rsidRPr="00E82F2C">
        <w:rPr>
          <w:rFonts w:ascii="Book Antiqua" w:hAnsi="Book Antiqua"/>
          <w:szCs w:val="22"/>
        </w:rPr>
        <w:t xml:space="preserve"> 21 giugno 2017, n. 96</w:t>
      </w:r>
      <w:r w:rsidR="00E82F2C">
        <w:rPr>
          <w:rFonts w:ascii="Book Antiqua" w:hAnsi="Book Antiqua"/>
          <w:szCs w:val="22"/>
        </w:rPr>
        <w:t xml:space="preserve">, il quale </w:t>
      </w:r>
      <w:r w:rsidR="00E82F2C">
        <w:rPr>
          <w:rFonts w:ascii="Book Antiqua" w:hAnsi="Book Antiqua"/>
          <w:szCs w:val="22"/>
        </w:rPr>
        <w:lastRenderedPageBreak/>
        <w:t xml:space="preserve">ha stabilito che </w:t>
      </w:r>
      <w:r w:rsidR="00E82F2C" w:rsidRPr="00E82F2C">
        <w:rPr>
          <w:rFonts w:ascii="Book Antiqua" w:hAnsi="Book Antiqua"/>
          <w:szCs w:val="22"/>
        </w:rPr>
        <w:t xml:space="preserve">le ore di servizio aggiuntivo effettuate </w:t>
      </w:r>
      <w:r w:rsidR="00E82F2C">
        <w:rPr>
          <w:rFonts w:ascii="Book Antiqua" w:hAnsi="Book Antiqua"/>
          <w:szCs w:val="22"/>
        </w:rPr>
        <w:t xml:space="preserve">per la sicurezza della circolazione stradale </w:t>
      </w:r>
      <w:r w:rsidR="00E82F2C" w:rsidRPr="00E82F2C">
        <w:rPr>
          <w:rFonts w:ascii="Book Antiqua" w:hAnsi="Book Antiqua"/>
          <w:szCs w:val="22"/>
        </w:rPr>
        <w:t xml:space="preserve">dal personale di polizia locale in occasione di eventi </w:t>
      </w:r>
      <w:r w:rsidR="00E82F2C">
        <w:rPr>
          <w:rFonts w:ascii="Book Antiqua" w:hAnsi="Book Antiqua"/>
          <w:szCs w:val="22"/>
        </w:rPr>
        <w:t xml:space="preserve">organizzati o promossi da soggetti privati </w:t>
      </w:r>
      <w:r w:rsidR="00E82F2C" w:rsidRPr="00E82F2C">
        <w:rPr>
          <w:rFonts w:ascii="Book Antiqua" w:hAnsi="Book Antiqua"/>
          <w:szCs w:val="22"/>
        </w:rPr>
        <w:t>non sono considerate ai fini del calcolo degli straordinari del personale stesso</w:t>
      </w:r>
      <w:r w:rsidR="00E82F2C">
        <w:rPr>
          <w:rFonts w:ascii="Book Antiqua" w:hAnsi="Book Antiqua"/>
          <w:szCs w:val="22"/>
        </w:rPr>
        <w:t>, dall’altro, da</w:t>
      </w:r>
      <w:r w:rsidR="00E82F2C" w:rsidRPr="00781F0B">
        <w:rPr>
          <w:rFonts w:ascii="Book Antiqua" w:hAnsi="Book Antiqua"/>
          <w:szCs w:val="22"/>
        </w:rPr>
        <w:t>ll’art. 56-</w:t>
      </w:r>
      <w:r w:rsidR="00E82F2C" w:rsidRPr="00781F0B">
        <w:rPr>
          <w:rFonts w:ascii="Book Antiqua" w:hAnsi="Book Antiqua"/>
          <w:i/>
          <w:szCs w:val="22"/>
        </w:rPr>
        <w:t>quinquies</w:t>
      </w:r>
      <w:r w:rsidR="00E82F2C" w:rsidRPr="00781F0B">
        <w:rPr>
          <w:rFonts w:ascii="Book Antiqua" w:hAnsi="Book Antiqua"/>
          <w:szCs w:val="22"/>
        </w:rPr>
        <w:t xml:space="preserve"> </w:t>
      </w:r>
      <w:r w:rsidR="00E82F2C">
        <w:rPr>
          <w:rFonts w:ascii="Book Antiqua" w:hAnsi="Book Antiqua"/>
          <w:szCs w:val="22"/>
        </w:rPr>
        <w:t>de</w:t>
      </w:r>
      <w:r w:rsidR="00E82F2C" w:rsidRPr="00781F0B">
        <w:rPr>
          <w:rFonts w:ascii="Book Antiqua" w:hAnsi="Book Antiqua"/>
          <w:szCs w:val="22"/>
        </w:rPr>
        <w:t>l CCNL 21</w:t>
      </w:r>
      <w:r w:rsidR="00E82F2C">
        <w:rPr>
          <w:rFonts w:ascii="Book Antiqua" w:hAnsi="Book Antiqua"/>
          <w:szCs w:val="22"/>
        </w:rPr>
        <w:t xml:space="preserve"> maggio </w:t>
      </w:r>
      <w:r w:rsidR="00E82F2C" w:rsidRPr="00781F0B">
        <w:rPr>
          <w:rFonts w:ascii="Book Antiqua" w:hAnsi="Book Antiqua"/>
          <w:szCs w:val="22"/>
        </w:rPr>
        <w:t xml:space="preserve">2018, </w:t>
      </w:r>
      <w:r w:rsidR="003325F2">
        <w:rPr>
          <w:rFonts w:ascii="Book Antiqua" w:hAnsi="Book Antiqua"/>
          <w:szCs w:val="22"/>
        </w:rPr>
        <w:t>che ha istituito una</w:t>
      </w:r>
      <w:r w:rsidR="00781F0B" w:rsidRPr="00781F0B">
        <w:rPr>
          <w:rFonts w:ascii="Book Antiqua" w:hAnsi="Book Antiqua"/>
          <w:szCs w:val="22"/>
        </w:rPr>
        <w:t xml:space="preserve"> “indennità di servizio esterno”</w:t>
      </w:r>
      <w:r w:rsidR="00781F0B">
        <w:rPr>
          <w:rFonts w:ascii="Book Antiqua" w:hAnsi="Book Antiqua"/>
          <w:szCs w:val="22"/>
        </w:rPr>
        <w:t xml:space="preserve"> </w:t>
      </w:r>
      <w:r w:rsidR="003325F2" w:rsidRPr="00781F0B">
        <w:rPr>
          <w:rFonts w:ascii="Book Antiqua" w:hAnsi="Book Antiqua"/>
          <w:szCs w:val="22"/>
        </w:rPr>
        <w:t>per il personale dell’area di vigilanza</w:t>
      </w:r>
      <w:r w:rsidR="003325F2">
        <w:rPr>
          <w:rFonts w:ascii="Book Antiqua" w:hAnsi="Book Antiqua"/>
          <w:szCs w:val="22"/>
        </w:rPr>
        <w:t>,</w:t>
      </w:r>
      <w:r w:rsidR="003325F2" w:rsidRPr="00781F0B">
        <w:rPr>
          <w:rFonts w:ascii="Book Antiqua" w:hAnsi="Book Antiqua"/>
          <w:szCs w:val="22"/>
        </w:rPr>
        <w:t xml:space="preserve"> </w:t>
      </w:r>
      <w:r w:rsidR="00781F0B" w:rsidRPr="00781F0B">
        <w:rPr>
          <w:rFonts w:ascii="Book Antiqua" w:hAnsi="Book Antiqua"/>
          <w:szCs w:val="22"/>
        </w:rPr>
        <w:t xml:space="preserve">cumulabile con </w:t>
      </w:r>
      <w:r w:rsidR="00781F0B">
        <w:rPr>
          <w:rFonts w:ascii="Book Antiqua" w:hAnsi="Book Antiqua"/>
          <w:szCs w:val="22"/>
        </w:rPr>
        <w:t xml:space="preserve">le </w:t>
      </w:r>
      <w:r w:rsidR="00781F0B" w:rsidRPr="00781F0B">
        <w:rPr>
          <w:rFonts w:ascii="Book Antiqua" w:hAnsi="Book Antiqua"/>
          <w:szCs w:val="22"/>
        </w:rPr>
        <w:t>altre indennità</w:t>
      </w:r>
      <w:r w:rsidR="003325F2">
        <w:rPr>
          <w:rFonts w:ascii="Book Antiqua" w:hAnsi="Book Antiqua"/>
          <w:szCs w:val="22"/>
        </w:rPr>
        <w:t xml:space="preserve"> e </w:t>
      </w:r>
      <w:r w:rsidR="00706328">
        <w:rPr>
          <w:rFonts w:ascii="Book Antiqua" w:hAnsi="Book Antiqua"/>
          <w:szCs w:val="22"/>
        </w:rPr>
        <w:t>rivolta</w:t>
      </w:r>
      <w:r w:rsidR="00781F0B" w:rsidRPr="00781F0B">
        <w:rPr>
          <w:rFonts w:ascii="Book Antiqua" w:hAnsi="Book Antiqua"/>
          <w:szCs w:val="22"/>
        </w:rPr>
        <w:t xml:space="preserve"> a compensare i rischi e </w:t>
      </w:r>
      <w:r w:rsidR="00781F0B">
        <w:rPr>
          <w:rFonts w:ascii="Book Antiqua" w:hAnsi="Book Antiqua"/>
          <w:szCs w:val="22"/>
        </w:rPr>
        <w:t xml:space="preserve">i </w:t>
      </w:r>
      <w:r w:rsidR="00781F0B" w:rsidRPr="00781F0B">
        <w:rPr>
          <w:rFonts w:ascii="Book Antiqua" w:hAnsi="Book Antiqua"/>
          <w:szCs w:val="22"/>
        </w:rPr>
        <w:t>disagi del personale della polizia locale connessi all’espletamento del servizio di vigilanza svolto, in via prevalente, in ambienti esterni.</w:t>
      </w:r>
    </w:p>
    <w:p w14:paraId="62B06CD9" w14:textId="3AD2AB21"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 xml:space="preserve">2.1. La seconda questione involge la portata applicativa del vincolo di finanza pubblica posto </w:t>
      </w:r>
      <w:bookmarkStart w:id="12" w:name="_Hlk4860201"/>
      <w:r w:rsidRPr="00AD7B50">
        <w:rPr>
          <w:rFonts w:ascii="Book Antiqua" w:hAnsi="Book Antiqua"/>
          <w:szCs w:val="22"/>
        </w:rPr>
        <w:t>dall’art. 23, comma 2, del d.lgs. 25 maggio 2017, n. 75</w:t>
      </w:r>
      <w:bookmarkEnd w:id="12"/>
      <w:r w:rsidRPr="00AD7B50">
        <w:rPr>
          <w:rFonts w:ascii="Book Antiqua" w:hAnsi="Book Antiqua"/>
          <w:szCs w:val="22"/>
        </w:rPr>
        <w:t xml:space="preserve">, il quale, riproducendo analoghe formulazioni di previgenti norme di coordinamento della finanza pubblica, sancisce che </w:t>
      </w:r>
      <w:r w:rsidR="00B915E4">
        <w:rPr>
          <w:rFonts w:ascii="Book Antiqua" w:hAnsi="Book Antiqua"/>
          <w:szCs w:val="22"/>
        </w:rPr>
        <w:t>«</w:t>
      </w:r>
      <w:r w:rsidRPr="00706328">
        <w:rPr>
          <w:rFonts w:ascii="Book Antiqua" w:hAnsi="Book Antiqua"/>
          <w:i/>
          <w:szCs w:val="22"/>
        </w:rPr>
        <w:t>a decorrere dal 1° gennaio 2017, l'ammontare complessivo delle risorse destinate annualmente al trattamento accessorio del personale, anche di livello dirigenziale, di ciascuna delle amministrazioni pubbliche di cui all'articolo 1, comma 2, del decreto legislativo 30 marzo 2001, n. 165, non può superare il corrispondente importo determinato per l'anno 2016</w:t>
      </w:r>
      <w:r w:rsidR="00B915E4">
        <w:rPr>
          <w:rFonts w:ascii="Book Antiqua" w:hAnsi="Book Antiqua"/>
          <w:szCs w:val="22"/>
        </w:rPr>
        <w:t>»</w:t>
      </w:r>
      <w:r w:rsidRPr="00AD7B50">
        <w:rPr>
          <w:rFonts w:ascii="Book Antiqua" w:hAnsi="Book Antiqua"/>
          <w:szCs w:val="22"/>
        </w:rPr>
        <w:t>.</w:t>
      </w:r>
    </w:p>
    <w:p w14:paraId="254CB845" w14:textId="77777777"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Al riguardo, la Sezione remittente chiede di conoscere se, in diverso avviso rispetto al prevalente orientamento delle Sezioni regionali di controllo, sia possibile escludere dal predetto vincolo di spesa gli incentivi monetari per progetti di potenziamento dei servizi di controllo finalizzati alla sicurezza urbana e stradale.</w:t>
      </w:r>
    </w:p>
    <w:p w14:paraId="0B45F713" w14:textId="77777777"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Tale richiesta nasce dal fatto che, dopo aver esaminato l’ampia casistica di ipotesi che risultano fare eccezione al limite di finanza pubblica in esame in virtù di espresse pronunce in sede nomofilattica, la Sezione regionale di controllo per la Lombardia ha ritenuto di individuare nei compensi aventi copertura nei proventi delle sanzioni amministrative previste dal Codice della strada una fattispecie nella quale riconosce un “</w:t>
      </w:r>
      <w:r w:rsidRPr="00706328">
        <w:rPr>
          <w:rFonts w:ascii="Book Antiqua" w:hAnsi="Book Antiqua"/>
          <w:i/>
          <w:szCs w:val="22"/>
        </w:rPr>
        <w:t>minimo comune denominatore</w:t>
      </w:r>
      <w:r w:rsidRPr="00AD7B50">
        <w:rPr>
          <w:rFonts w:ascii="Book Antiqua" w:hAnsi="Book Antiqua"/>
          <w:szCs w:val="22"/>
        </w:rPr>
        <w:t xml:space="preserve">” con i presupposti motivazionali e la </w:t>
      </w:r>
      <w:r w:rsidRPr="00706328">
        <w:rPr>
          <w:rFonts w:ascii="Book Antiqua" w:hAnsi="Book Antiqua"/>
          <w:i/>
          <w:szCs w:val="22"/>
        </w:rPr>
        <w:t>ratio</w:t>
      </w:r>
      <w:r w:rsidRPr="00AD7B50">
        <w:rPr>
          <w:rFonts w:ascii="Book Antiqua" w:hAnsi="Book Antiqua"/>
          <w:szCs w:val="22"/>
        </w:rPr>
        <w:t xml:space="preserve"> sottostante ai predetti pronunciamenti nomofilattici.</w:t>
      </w:r>
    </w:p>
    <w:p w14:paraId="16245CBC" w14:textId="77777777"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Seguendo la ricostruzione della Sezione remittente, tutti gli emolumenti economici accessori esclusi dai vincoli di finanza pubblica (si pensi ai compensi spettanti agli avvocati dipendenti delle Pubbliche amministrazioni, ai diritti di rogito, agli incentivi per funzioni “tecniche” etc.) avrebbero in comune, tra loro, la concorrenza di taluni presupposti (fonte in specifica disposizione di legge, predeterminata categoria di dipendenti, auto-finanziamento dell’emolumento, neutralità di impatto sul bilancio, limite finanziario complessivo) che connoterebbero anche gli incentivi monetari da sanzioni per violazioni al Codice della strada. Inoltre, detti emolumenti accessori sarebbero, per loro natura, variabili nel tempo e, come tali, meno suscettibili di essere soggetti ad un vincolo di finanza pubblica che ha come parametro di riferimento un predeterminato anno base, dal quale deriverebbero, per i dipendenti degli enti locali, effetti favorevoli o penalizzanti in modo del tutto casuale.</w:t>
      </w:r>
    </w:p>
    <w:p w14:paraId="0C06610E" w14:textId="322ADAEB"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2.2. Come stabilito da questa Sezione con la deliberazione n. 26/SEZAUT/2014/QMIG in riferimento all’art. 9, comma 2-</w:t>
      </w:r>
      <w:r w:rsidRPr="00706328">
        <w:rPr>
          <w:rFonts w:ascii="Book Antiqua" w:hAnsi="Book Antiqua"/>
          <w:i/>
          <w:szCs w:val="22"/>
        </w:rPr>
        <w:t>bis</w:t>
      </w:r>
      <w:r w:rsidRPr="00AD7B50">
        <w:rPr>
          <w:rFonts w:ascii="Book Antiqua" w:hAnsi="Book Antiqua"/>
          <w:szCs w:val="22"/>
        </w:rPr>
        <w:t xml:space="preserve">, del </w:t>
      </w:r>
      <w:proofErr w:type="spellStart"/>
      <w:r w:rsidRPr="00AD7B50">
        <w:rPr>
          <w:rFonts w:ascii="Book Antiqua" w:hAnsi="Book Antiqua"/>
          <w:szCs w:val="22"/>
        </w:rPr>
        <w:t>d.l.</w:t>
      </w:r>
      <w:proofErr w:type="spellEnd"/>
      <w:r w:rsidRPr="00AD7B50">
        <w:rPr>
          <w:rFonts w:ascii="Book Antiqua" w:hAnsi="Book Antiqua"/>
          <w:szCs w:val="22"/>
        </w:rPr>
        <w:t xml:space="preserve"> 31 maggio 2010, n. 78, l’espressione letterale adoperata dal legislatore per demarcare l’ambito applicativo del limite di spesa </w:t>
      </w:r>
      <w:r w:rsidRPr="00AD7B50">
        <w:rPr>
          <w:rFonts w:ascii="Book Antiqua" w:hAnsi="Book Antiqua"/>
          <w:szCs w:val="22"/>
        </w:rPr>
        <w:lastRenderedPageBreak/>
        <w:t>(“…</w:t>
      </w:r>
      <w:r w:rsidRPr="00706328">
        <w:rPr>
          <w:rFonts w:ascii="Book Antiqua" w:hAnsi="Book Antiqua"/>
          <w:i/>
          <w:szCs w:val="22"/>
        </w:rPr>
        <w:t>l’ammontare complessivo delle risorse destinate annualmente al trattamento accessorio del personale</w:t>
      </w:r>
      <w:r w:rsidRPr="00AD7B50">
        <w:rPr>
          <w:rFonts w:ascii="Book Antiqua" w:hAnsi="Book Antiqua"/>
          <w:szCs w:val="22"/>
        </w:rPr>
        <w:t>”) denota la volontà di ricomprendere nella fattispecie normativa ogni genere di risorse funzionalmente destinate ad offrire copertura agli oneri accessori del personale, indipendentemente dall’origine, dalla provenienza o dal carattere aggiuntivo di queste.</w:t>
      </w:r>
    </w:p>
    <w:p w14:paraId="6BC617DF" w14:textId="47E062E1"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 xml:space="preserve">Tale principio ermeneutico, esteso anche all’art. 23, comma 2, del d.lgs. n. 75/2017 a seguito della deliberazione n. 20/SEZAUT/2017/QMIG (che ha riconosciuto </w:t>
      </w:r>
      <w:r w:rsidR="00A114DA">
        <w:rPr>
          <w:rFonts w:ascii="Book Antiqua" w:hAnsi="Book Antiqua"/>
          <w:szCs w:val="22"/>
        </w:rPr>
        <w:t xml:space="preserve">nella norma </w:t>
      </w:r>
      <w:r w:rsidRPr="00AD7B50">
        <w:rPr>
          <w:rFonts w:ascii="Book Antiqua" w:hAnsi="Book Antiqua"/>
          <w:szCs w:val="22"/>
        </w:rPr>
        <w:t xml:space="preserve">la sostanziale continuità teleologica), deve essere temperato alla luce della </w:t>
      </w:r>
      <w:r w:rsidRPr="00706328">
        <w:rPr>
          <w:rFonts w:ascii="Book Antiqua" w:hAnsi="Book Antiqua"/>
          <w:i/>
          <w:szCs w:val="22"/>
        </w:rPr>
        <w:t>ratio</w:t>
      </w:r>
      <w:r w:rsidRPr="00AD7B50">
        <w:rPr>
          <w:rFonts w:ascii="Book Antiqua" w:hAnsi="Book Antiqua"/>
          <w:szCs w:val="22"/>
        </w:rPr>
        <w:t xml:space="preserve"> della </w:t>
      </w:r>
      <w:r w:rsidR="00A114DA">
        <w:rPr>
          <w:rFonts w:ascii="Book Antiqua" w:hAnsi="Book Antiqua"/>
          <w:szCs w:val="22"/>
        </w:rPr>
        <w:t>disposizione</w:t>
      </w:r>
      <w:r w:rsidRPr="00AD7B50">
        <w:rPr>
          <w:rFonts w:ascii="Book Antiqua" w:hAnsi="Book Antiqua"/>
          <w:szCs w:val="22"/>
        </w:rPr>
        <w:t xml:space="preserve"> vincolistica, come individuata dalle deliberazioni n. 51/CONTR/11 delle Sezioni riunite e n. 2/SEZAUT/2013/QMIG di questa Sezione, la quale si sostanzia nella volontà di calmierare gli incrementi dei fondi per il trattamento accessorio ove non diretti a remunerare incarichi, resi in via straordinaria o, comunque, affidati singolarmente a specifici dipendenti, insuscettibili di refluire sulla contrattazione nazionale successiva aumentando la base retributiva di riferimento utilizzata per il calcolo degli incrementi stipendiali.</w:t>
      </w:r>
    </w:p>
    <w:p w14:paraId="298EB249" w14:textId="009CCC8C"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Seguendo questa linea interpretativa, il ruolo assunto dalla Sezione delle autonomie nell’individuare le tipologie di risorse da escludere dagli accennati limiti di spesa si è sviluppato lungo due direttrici: da un lato, sono stati messi in luce gli incentivi i cui finanziamenti non risultano imputabili ai capitoli di spesa ordinariamente destinati al trattamento accessorio del personale (si inseriscono in quest’ambito la deliberazione n. 22/SEZAUT/2015/QMIG in tema di accantonamenti a titolo di previdenza integrativa per il personale della polizia municipale e la deliberazione n. 6/SEZAUT/2018/QMIG in materia di incentivi per le funzioni tecniche di cui all’art. 113, comma 2, del d.lgs.</w:t>
      </w:r>
      <w:r w:rsidR="000A4944">
        <w:rPr>
          <w:rFonts w:ascii="Book Antiqua" w:hAnsi="Book Antiqua"/>
          <w:szCs w:val="22"/>
        </w:rPr>
        <w:t xml:space="preserve"> </w:t>
      </w:r>
      <w:r w:rsidRPr="00AD7B50">
        <w:rPr>
          <w:rFonts w:ascii="Book Antiqua" w:hAnsi="Book Antiqua"/>
          <w:szCs w:val="22"/>
        </w:rPr>
        <w:t xml:space="preserve">18 aprile 2016, n. 50); dall’altro, sono state circoscritte le ipotesi di incentivi potenzialmente destinabili alla generalità dei dipendenti attraverso lo svolgimento della contrattazione integrativa o implicanti costi aggiuntivi per il bilancio dell’ente (in questo secondo gruppo si collocano le pronunce dirette ad enucleare le ipotesi di alimentazione puramente “figurativa” del trattamento accessorio). </w:t>
      </w:r>
    </w:p>
    <w:p w14:paraId="625A6020" w14:textId="6CE89862"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2.3. Alla luce degli approdi nomofilattici raggiunti in materia, le uniche deroghe compatibili con la portata onnicomprensiva del vincolo di spesa sono quelle fondate sulla finalità della norma, per cui è necessario valutare se la disposizione che individua una tipologia di risorse destinate alla parte variabile del trattamento accessorio, incentivi le politiche di sviluppo della produttività individuale con incarichi particolari ed aggiuntivi (rispetto alle ordinarie mansioni lavorative) non incidenti sugli equilibri di bilancio dell’ente, o consenta, comunque, di remunerare detti incarichi aggiuntivi mediante l’impiego esclusivo di risorse vincolate etero-finanziate o autonome supplementari.</w:t>
      </w:r>
    </w:p>
    <w:p w14:paraId="4026A203" w14:textId="648BC4CD"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Sotto questo profilo, la fattispecie descritta dalla Sezione remittente come</w:t>
      </w:r>
      <w:r w:rsidR="000D1B99">
        <w:rPr>
          <w:rFonts w:ascii="Book Antiqua" w:hAnsi="Book Antiqua"/>
          <w:szCs w:val="22"/>
        </w:rPr>
        <w:t xml:space="preserve"> </w:t>
      </w:r>
      <w:proofErr w:type="spellStart"/>
      <w:r w:rsidRPr="00AD7B50">
        <w:rPr>
          <w:rFonts w:ascii="Book Antiqua" w:hAnsi="Book Antiqua"/>
          <w:szCs w:val="22"/>
        </w:rPr>
        <w:t>possibile</w:t>
      </w:r>
      <w:proofErr w:type="spellEnd"/>
      <w:r w:rsidR="000D1B99">
        <w:rPr>
          <w:rFonts w:ascii="Book Antiqua" w:hAnsi="Book Antiqua"/>
          <w:szCs w:val="22"/>
        </w:rPr>
        <w:t xml:space="preserve"> </w:t>
      </w:r>
      <w:r w:rsidRPr="00AD7B50">
        <w:rPr>
          <w:rFonts w:ascii="Book Antiqua" w:hAnsi="Book Antiqua"/>
          <w:szCs w:val="22"/>
        </w:rPr>
        <w:t>ipotesi da escludere dall’ambito del divieto posto dall’art. 23, comma 2, del d.lgs. n. 75/2017, non risulta conforme ai predetti criteri di valutazione.</w:t>
      </w:r>
    </w:p>
    <w:p w14:paraId="252226A2" w14:textId="79A91D8C"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lastRenderedPageBreak/>
        <w:t>In primo luogo, occorre considerare che l’attuazione dei progetti di potenziamento dei servizi di controllo finalizzati alla sicurezza urbana e stradale non genera, di per s</w:t>
      </w:r>
      <w:r w:rsidR="004E0BB0">
        <w:rPr>
          <w:rFonts w:ascii="Book Antiqua" w:hAnsi="Book Antiqua"/>
          <w:szCs w:val="22"/>
        </w:rPr>
        <w:t>é</w:t>
      </w:r>
      <w:r w:rsidRPr="00AD7B50">
        <w:rPr>
          <w:rFonts w:ascii="Book Antiqua" w:hAnsi="Book Antiqua"/>
          <w:szCs w:val="22"/>
        </w:rPr>
        <w:t xml:space="preserve">, economie di spesa, anche se tale attuazione è resa possibile dall’utilizzo di proventi derivanti dalle sanzioni previste dal Codice della strada che lo stesso personale della polizia locale (mediante l’ordinaria attività di accertamento) concorre a realizzare. In tal senso, benché gli incentivi economici al personale della polizia locale si autoalimentino con i frutti dell’attività svolta dagli stessi dipendenti, non per questo possono dirsi assolutamente neutri sul piano del bilancio non essendo correlati ad un effettivo incremento di entrate, ciò in quanto la destinazione di quei proventi al trattamento accessorio del personale, ove non fosse limitata alle sole maggiori entrate, implicherebbe la riduzione della spesa per qualcuna delle altre finalità alternativamente </w:t>
      </w:r>
      <w:r w:rsidR="00D31358" w:rsidRPr="00AD7B50">
        <w:rPr>
          <w:rFonts w:ascii="Book Antiqua" w:hAnsi="Book Antiqua"/>
          <w:szCs w:val="22"/>
        </w:rPr>
        <w:t xml:space="preserve">previste </w:t>
      </w:r>
      <w:r w:rsidRPr="00AD7B50">
        <w:rPr>
          <w:rFonts w:ascii="Book Antiqua" w:hAnsi="Book Antiqua"/>
          <w:szCs w:val="22"/>
        </w:rPr>
        <w:t>dall’art. 208.</w:t>
      </w:r>
    </w:p>
    <w:p w14:paraId="2A30CAA7" w14:textId="1FFBE3E8"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Ma quand’anche si trattasse di entrate autonome supplementari, l’ampia casistica di interventi previsti dal comma 5-</w:t>
      </w:r>
      <w:r w:rsidRPr="00D31358">
        <w:rPr>
          <w:rFonts w:ascii="Book Antiqua" w:hAnsi="Book Antiqua"/>
          <w:i/>
          <w:szCs w:val="22"/>
        </w:rPr>
        <w:t>bis</w:t>
      </w:r>
      <w:r w:rsidRPr="00AD7B50">
        <w:rPr>
          <w:rFonts w:ascii="Book Antiqua" w:hAnsi="Book Antiqua"/>
          <w:szCs w:val="22"/>
        </w:rPr>
        <w:t xml:space="preserve"> dell’art. 208 non consente di individuare nel vincolo di destinazione della norma quella specifica finalizzazione (diretta ed immediata) dei proventi in esame alla incentivazione di prestazioni aggiuntive volte ad incrementare la produttività di specifici dipendenti. Tale collegamento funzionale, come si è visto, è frutto solo di disposizioni contrattuali (l’art. 56-</w:t>
      </w:r>
      <w:r w:rsidRPr="00D31358">
        <w:rPr>
          <w:rFonts w:ascii="Book Antiqua" w:hAnsi="Book Antiqua"/>
          <w:i/>
          <w:szCs w:val="22"/>
        </w:rPr>
        <w:t>quater</w:t>
      </w:r>
      <w:r w:rsidRPr="00AD7B50">
        <w:rPr>
          <w:rFonts w:ascii="Book Antiqua" w:hAnsi="Book Antiqua"/>
          <w:szCs w:val="22"/>
        </w:rPr>
        <w:t xml:space="preserve"> e l’art. 67, comma 3, del CCNL 21 maggio 2018), che legittimano l’ente a destinare parte dei proventi alla componente variabile del “Fondo risorse decentrate” del personale di polizia locale per la corresponsione di </w:t>
      </w:r>
      <w:r w:rsidR="004E0BB0">
        <w:rPr>
          <w:rFonts w:ascii="Book Antiqua" w:hAnsi="Book Antiqua"/>
          <w:szCs w:val="22"/>
        </w:rPr>
        <w:t>«</w:t>
      </w:r>
      <w:r w:rsidRPr="00D31358">
        <w:rPr>
          <w:rFonts w:ascii="Book Antiqua" w:hAnsi="Book Antiqua"/>
          <w:i/>
          <w:szCs w:val="22"/>
        </w:rPr>
        <w:t>incentivi monetari collegati a obiettivi di potenziamento dei servizi di controllo finalizzati alla sicurezza urbana e stradale</w:t>
      </w:r>
      <w:r w:rsidR="004E0BB0">
        <w:rPr>
          <w:rFonts w:ascii="Book Antiqua" w:hAnsi="Book Antiqua"/>
          <w:szCs w:val="22"/>
        </w:rPr>
        <w:t>»</w:t>
      </w:r>
      <w:r w:rsidRPr="00AD7B50">
        <w:rPr>
          <w:rFonts w:ascii="Book Antiqua" w:hAnsi="Book Antiqua"/>
          <w:szCs w:val="22"/>
        </w:rPr>
        <w:t xml:space="preserve">, sicché il </w:t>
      </w:r>
      <w:r w:rsidRPr="00D31358">
        <w:rPr>
          <w:rFonts w:ascii="Book Antiqua" w:hAnsi="Book Antiqua"/>
          <w:i/>
          <w:szCs w:val="22"/>
        </w:rPr>
        <w:t>surplus</w:t>
      </w:r>
      <w:r w:rsidRPr="00AD7B50">
        <w:rPr>
          <w:rFonts w:ascii="Book Antiqua" w:hAnsi="Book Antiqua"/>
          <w:szCs w:val="22"/>
        </w:rPr>
        <w:t xml:space="preserve"> lavorativo del personale si configura quale effetto meramente eventuale dei progetti di potenziamento della sicurezza stradale.</w:t>
      </w:r>
    </w:p>
    <w:p w14:paraId="2CDB2C2E" w14:textId="057FF9BE"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Inoltre, poiché l’entità delle risorse del bilancio da imputare al fondo viene stabilita discrezionalmente dall’ente e potendo i progetti essere rivolti, in astratto, anche a tutto il personale</w:t>
      </w:r>
      <w:r w:rsidR="00A424E5">
        <w:rPr>
          <w:rFonts w:ascii="Book Antiqua" w:hAnsi="Book Antiqua"/>
          <w:szCs w:val="22"/>
        </w:rPr>
        <w:t xml:space="preserve"> in servizio</w:t>
      </w:r>
      <w:r w:rsidRPr="00AD7B50">
        <w:rPr>
          <w:rFonts w:ascii="Book Antiqua" w:hAnsi="Book Antiqua"/>
          <w:szCs w:val="22"/>
        </w:rPr>
        <w:t xml:space="preserve">, una deroga al vincolo di spesa aprirebbe la strada ad ogni forma di elusione e di uso strumentale delle suddette risorse, in quanto gli strumenti finalizzati a valorizzare il merito ed i metodi di incentivazione della produttività non impedirebbero di premiare la generalità dei dipendenti dell’ente (sia pure in base alla valutazione delle </w:t>
      </w:r>
      <w:r w:rsidRPr="00A424E5">
        <w:rPr>
          <w:rFonts w:ascii="Book Antiqua" w:hAnsi="Book Antiqua"/>
          <w:i/>
          <w:szCs w:val="22"/>
        </w:rPr>
        <w:t>performances</w:t>
      </w:r>
      <w:r w:rsidRPr="00AD7B50">
        <w:rPr>
          <w:rFonts w:ascii="Book Antiqua" w:hAnsi="Book Antiqua"/>
          <w:szCs w:val="22"/>
        </w:rPr>
        <w:t xml:space="preserve"> individuali) in contrasto con lo spirito del divieto.</w:t>
      </w:r>
    </w:p>
    <w:p w14:paraId="6F3AAD6F" w14:textId="1C4D0259"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 xml:space="preserve">Ulteriori perplessità attinenti al profilo dell’assoluta neutralità di impatto sul bilancio dell’ente nascono dal fatto che l’art. 208, non richiedendo prestazioni professionali suppletive da programmare e misurare, consente ai progetti di conseguire il potenziamento della sicurezza stradale anche attraverso il sostegno di oneri aggiuntivi di varia natura per beni o servizi acquisibili anche all’esterno, a fronte di proventi </w:t>
      </w:r>
      <w:r w:rsidR="00277F6A">
        <w:rPr>
          <w:rFonts w:ascii="Book Antiqua" w:hAnsi="Book Antiqua"/>
          <w:szCs w:val="22"/>
        </w:rPr>
        <w:t xml:space="preserve">contravvenzionali </w:t>
      </w:r>
      <w:r w:rsidRPr="00AD7B50">
        <w:rPr>
          <w:rFonts w:ascii="Book Antiqua" w:hAnsi="Book Antiqua"/>
          <w:szCs w:val="22"/>
        </w:rPr>
        <w:t xml:space="preserve">peraltro ancora da realizzare (il comma 4 dell’art. 208 consente, infatti, il semplice utilizzo dei proventi “spettanti” agli enti). </w:t>
      </w:r>
    </w:p>
    <w:p w14:paraId="391C7B87" w14:textId="47877E9F"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 xml:space="preserve">Né sembra di particolare pregio l’obiezione che gli emolumenti accessori in parola sarebbero, per loro natura, variabili nel tempo (e, in quanto tali, meno suscettibili di essere soggetti ad un vincolo di finanza pubblica che ha come parametro di riferimento un </w:t>
      </w:r>
      <w:r w:rsidRPr="00AD7B50">
        <w:rPr>
          <w:rFonts w:ascii="Book Antiqua" w:hAnsi="Book Antiqua"/>
          <w:szCs w:val="22"/>
        </w:rPr>
        <w:lastRenderedPageBreak/>
        <w:t>predeterminato anno base), solo che si consideri che la variabilità dei proventi non dipende solo dal numero di contravvenzioni elevate, ma anche dalla facoltà degli enti di ripartir</w:t>
      </w:r>
      <w:r w:rsidR="00A424E5">
        <w:rPr>
          <w:rFonts w:ascii="Book Antiqua" w:hAnsi="Book Antiqua"/>
          <w:szCs w:val="22"/>
        </w:rPr>
        <w:t>ne l’importo</w:t>
      </w:r>
      <w:r w:rsidRPr="00AD7B50">
        <w:rPr>
          <w:rFonts w:ascii="Book Antiqua" w:hAnsi="Book Antiqua"/>
          <w:szCs w:val="22"/>
        </w:rPr>
        <w:t xml:space="preserve"> fra le diverse finalità previste dalla norma, senza contare il fatto che il vincolo di spesa posto al complessivo trattamento accessorio dal secondo comma dell’art. 23 del d.lgs. n. 75/2017 ha come misura di riferimento un aggregato che comprende, accanto alle componenti fisse e continuative, tutte le voci retributive costituenti parte “variabile” dell’accessorio, in quanto elementi retributivi eventuali e mutabili a seconda delle funzioni conseguite in corso d’anno.</w:t>
      </w:r>
    </w:p>
    <w:p w14:paraId="14BBBBCB" w14:textId="7FEF61CD"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 xml:space="preserve">Ad escludere la necessità di una deroga al vincolo di finanza pubblica è anche il fatto che, nel caso in cui il personale non potesse essere remunerato per via del raggiungimento del limite di spesa di cui all’art. 23 </w:t>
      </w:r>
      <w:r w:rsidR="0041561B">
        <w:rPr>
          <w:rFonts w:ascii="Book Antiqua" w:hAnsi="Book Antiqua"/>
          <w:szCs w:val="22"/>
        </w:rPr>
        <w:t xml:space="preserve">del </w:t>
      </w:r>
      <w:r w:rsidRPr="00AD7B50">
        <w:rPr>
          <w:rFonts w:ascii="Book Antiqua" w:hAnsi="Book Antiqua"/>
          <w:szCs w:val="22"/>
        </w:rPr>
        <w:t>d.lgs. n. 75/2017, le disposizioni di cui all’art. 208 non rimarrebbero inattuate, potendo i proventi delle sanzioni essere comunque destinati verso le molteplici altre finalità previste dalla norma.</w:t>
      </w:r>
    </w:p>
    <w:p w14:paraId="012014BF" w14:textId="3E1E401E"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 xml:space="preserve">Deve ritenersi, pertanto, che la quota dei proventi previsti dall’art. 208 del Codice della strada e confluenti nel </w:t>
      </w:r>
      <w:bookmarkStart w:id="13" w:name="_Hlk5174951"/>
      <w:r w:rsidRPr="00AD7B50">
        <w:rPr>
          <w:rFonts w:ascii="Book Antiqua" w:hAnsi="Book Antiqua"/>
          <w:szCs w:val="22"/>
        </w:rPr>
        <w:t xml:space="preserve">“Fondo risorse decentrate” </w:t>
      </w:r>
      <w:bookmarkEnd w:id="13"/>
      <w:r w:rsidRPr="00AD7B50">
        <w:rPr>
          <w:rFonts w:ascii="Book Antiqua" w:hAnsi="Book Antiqua"/>
          <w:szCs w:val="22"/>
        </w:rPr>
        <w:t>per incentivare il personale della polizia locale impegnato in progetti di potenziamento dei servizi di controllo finalizzati alla sicurezza urbana e stradale, rientr</w:t>
      </w:r>
      <w:r w:rsidR="00AB09A6">
        <w:rPr>
          <w:rFonts w:ascii="Book Antiqua" w:hAnsi="Book Antiqua"/>
          <w:szCs w:val="22"/>
        </w:rPr>
        <w:t>a</w:t>
      </w:r>
      <w:r w:rsidRPr="00AD7B50">
        <w:rPr>
          <w:rFonts w:ascii="Book Antiqua" w:hAnsi="Book Antiqua"/>
          <w:szCs w:val="22"/>
        </w:rPr>
        <w:t xml:space="preserve"> nell’ambito del divieto posto dall’art. 23, comma 2, del d.lgs. n. 75/2017, in quanto il potenziamento della sicurezza stradale non risulta direttamente correlato né al conseguimento di effettivi recuperi di efficienza né ad un incremento di entrate (o ad un risparmio di spesa) imputabile ad una determinata tipologia di dipendenti con effetti finanziariamente neutri sul piano del bilancio.</w:t>
      </w:r>
    </w:p>
    <w:p w14:paraId="46C88721" w14:textId="09F670E5"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Cionon</w:t>
      </w:r>
      <w:r w:rsidR="00AB09A6">
        <w:rPr>
          <w:rFonts w:ascii="Book Antiqua" w:hAnsi="Book Antiqua"/>
          <w:szCs w:val="22"/>
        </w:rPr>
        <w:t>ostante</w:t>
      </w:r>
      <w:r w:rsidRPr="00AD7B50">
        <w:rPr>
          <w:rFonts w:ascii="Book Antiqua" w:hAnsi="Book Antiqua"/>
          <w:szCs w:val="22"/>
        </w:rPr>
        <w:t xml:space="preserve">, non può escludersi </w:t>
      </w:r>
      <w:r w:rsidR="0041561B">
        <w:rPr>
          <w:rFonts w:ascii="Book Antiqua" w:hAnsi="Book Antiqua"/>
          <w:szCs w:val="22"/>
        </w:rPr>
        <w:t xml:space="preserve">l’ipotesi </w:t>
      </w:r>
      <w:r w:rsidRPr="00AD7B50">
        <w:rPr>
          <w:rFonts w:ascii="Book Antiqua" w:hAnsi="Book Antiqua"/>
          <w:szCs w:val="22"/>
        </w:rPr>
        <w:t xml:space="preserve">che, in concreto, l’ente destini agli incentivi del personale della polizia locale </w:t>
      </w:r>
      <w:r w:rsidR="007D3E49">
        <w:rPr>
          <w:rFonts w:ascii="Book Antiqua" w:hAnsi="Book Antiqua"/>
          <w:szCs w:val="22"/>
        </w:rPr>
        <w:t>l</w:t>
      </w:r>
      <w:r w:rsidR="006D1598">
        <w:rPr>
          <w:rFonts w:ascii="Book Antiqua" w:hAnsi="Book Antiqua"/>
          <w:szCs w:val="22"/>
        </w:rPr>
        <w:t>a quota</w:t>
      </w:r>
      <w:r w:rsidRPr="00AD7B50">
        <w:rPr>
          <w:rFonts w:ascii="Book Antiqua" w:hAnsi="Book Antiqua"/>
          <w:szCs w:val="22"/>
        </w:rPr>
        <w:t xml:space="preserve"> </w:t>
      </w:r>
      <w:r w:rsidR="008D3273">
        <w:rPr>
          <w:rFonts w:ascii="Book Antiqua" w:hAnsi="Book Antiqua"/>
          <w:szCs w:val="22"/>
        </w:rPr>
        <w:t xml:space="preserve">di </w:t>
      </w:r>
      <w:r w:rsidR="008D3273" w:rsidRPr="00AD7B50">
        <w:rPr>
          <w:rFonts w:ascii="Book Antiqua" w:hAnsi="Book Antiqua"/>
          <w:szCs w:val="22"/>
        </w:rPr>
        <w:t xml:space="preserve">proventi </w:t>
      </w:r>
      <w:r w:rsidR="00277F6A">
        <w:rPr>
          <w:rFonts w:ascii="Book Antiqua" w:hAnsi="Book Antiqua"/>
          <w:szCs w:val="22"/>
        </w:rPr>
        <w:t xml:space="preserve">contravvenzionali </w:t>
      </w:r>
      <w:r w:rsidRPr="00AD7B50">
        <w:rPr>
          <w:rFonts w:ascii="Book Antiqua" w:hAnsi="Book Antiqua"/>
          <w:szCs w:val="22"/>
        </w:rPr>
        <w:t xml:space="preserve">eccedente </w:t>
      </w:r>
      <w:r w:rsidR="0041561B">
        <w:rPr>
          <w:rFonts w:ascii="Book Antiqua" w:hAnsi="Book Antiqua"/>
          <w:szCs w:val="22"/>
        </w:rPr>
        <w:t xml:space="preserve">le </w:t>
      </w:r>
      <w:r w:rsidR="0041561B" w:rsidRPr="00AD7B50">
        <w:rPr>
          <w:rFonts w:ascii="Book Antiqua" w:hAnsi="Book Antiqua"/>
          <w:szCs w:val="22"/>
        </w:rPr>
        <w:t>riscossi</w:t>
      </w:r>
      <w:r w:rsidR="0041561B">
        <w:rPr>
          <w:rFonts w:ascii="Book Antiqua" w:hAnsi="Book Antiqua"/>
          <w:szCs w:val="22"/>
        </w:rPr>
        <w:t>oni</w:t>
      </w:r>
      <w:r w:rsidR="0041561B" w:rsidRPr="00AD7B50">
        <w:rPr>
          <w:rFonts w:ascii="Book Antiqua" w:hAnsi="Book Antiqua"/>
          <w:szCs w:val="22"/>
        </w:rPr>
        <w:t xml:space="preserve"> </w:t>
      </w:r>
      <w:r w:rsidR="0041561B">
        <w:rPr>
          <w:rFonts w:ascii="Book Antiqua" w:hAnsi="Book Antiqua"/>
          <w:szCs w:val="22"/>
        </w:rPr>
        <w:t>d</w:t>
      </w:r>
      <w:r w:rsidR="0041561B" w:rsidRPr="00AD7B50">
        <w:rPr>
          <w:rFonts w:ascii="Book Antiqua" w:hAnsi="Book Antiqua"/>
          <w:szCs w:val="22"/>
        </w:rPr>
        <w:t>el precedente esercizio</w:t>
      </w:r>
      <w:r w:rsidRPr="00AD7B50">
        <w:rPr>
          <w:rFonts w:ascii="Book Antiqua" w:hAnsi="Book Antiqua"/>
          <w:szCs w:val="22"/>
        </w:rPr>
        <w:t xml:space="preserve">, utilizzando così, per l’attuazione dei progetti, solo le maggiori entrate effettivamente ed autonomamente realizzate dal medesimo personale. In </w:t>
      </w:r>
      <w:r w:rsidR="007D3E49">
        <w:rPr>
          <w:rFonts w:ascii="Book Antiqua" w:hAnsi="Book Antiqua"/>
          <w:szCs w:val="22"/>
        </w:rPr>
        <w:t>tale</w:t>
      </w:r>
      <w:r w:rsidR="002C3E01">
        <w:rPr>
          <w:rFonts w:ascii="Book Antiqua" w:hAnsi="Book Antiqua"/>
          <w:szCs w:val="22"/>
        </w:rPr>
        <w:t xml:space="preserve"> </w:t>
      </w:r>
      <w:r w:rsidR="00AB09A6">
        <w:rPr>
          <w:rFonts w:ascii="Book Antiqua" w:hAnsi="Book Antiqua"/>
          <w:szCs w:val="22"/>
        </w:rPr>
        <w:t>circostanza</w:t>
      </w:r>
      <w:r w:rsidRPr="00AD7B50">
        <w:rPr>
          <w:rFonts w:ascii="Book Antiqua" w:hAnsi="Book Antiqua"/>
          <w:szCs w:val="22"/>
        </w:rPr>
        <w:t xml:space="preserve">, </w:t>
      </w:r>
      <w:r w:rsidR="008D3273">
        <w:rPr>
          <w:rFonts w:ascii="Book Antiqua" w:hAnsi="Book Antiqua"/>
          <w:szCs w:val="22"/>
        </w:rPr>
        <w:t xml:space="preserve">per la parte in cui i maggiori proventi riscossi confluiscono nel </w:t>
      </w:r>
      <w:r w:rsidR="00277F6A">
        <w:rPr>
          <w:rFonts w:ascii="Book Antiqua" w:hAnsi="Book Antiqua"/>
          <w:szCs w:val="22"/>
        </w:rPr>
        <w:t>f</w:t>
      </w:r>
      <w:r w:rsidR="008D3273" w:rsidRPr="008D3273">
        <w:rPr>
          <w:rFonts w:ascii="Book Antiqua" w:hAnsi="Book Antiqua"/>
          <w:szCs w:val="22"/>
        </w:rPr>
        <w:t xml:space="preserve">ondo risorse decentrate </w:t>
      </w:r>
      <w:r w:rsidR="00A30C9F">
        <w:rPr>
          <w:rFonts w:ascii="Book Antiqua" w:hAnsi="Book Antiqua"/>
          <w:szCs w:val="22"/>
        </w:rPr>
        <w:t xml:space="preserve">in aumento rispetto ai proventi da sanzioni in esso affluiti nell’esercizio precedente, </w:t>
      </w:r>
      <w:r w:rsidRPr="00AD7B50">
        <w:rPr>
          <w:rFonts w:ascii="Book Antiqua" w:hAnsi="Book Antiqua"/>
          <w:szCs w:val="22"/>
        </w:rPr>
        <w:t>l’operazione risulterebbe assolutamente neutra sul piano del bilancio (non avendo alcun impatto sulle altre spese e non dando luogo ad un effettivo aumento di spesa), sicché</w:t>
      </w:r>
      <w:r w:rsidR="002C3E01">
        <w:rPr>
          <w:rFonts w:ascii="Book Antiqua" w:hAnsi="Book Antiqua"/>
          <w:szCs w:val="22"/>
        </w:rPr>
        <w:t>,</w:t>
      </w:r>
      <w:r w:rsidRPr="00AD7B50">
        <w:rPr>
          <w:rFonts w:ascii="Book Antiqua" w:hAnsi="Book Antiqua"/>
          <w:szCs w:val="22"/>
        </w:rPr>
        <w:t xml:space="preserve"> nel caso in cui i maggiori proventi non fossero diretti a remunerare il personale per le ordinarie mansioni lavorative, ma venissero utilizzati per premiare la maggiore produttività di specifiche unità di personale incaricate di svolgere servizi suppletivi di controllo funzionali al programmato potenziamento della sicurezza urbana e stradale, la fattispecie così delineata non sarebbe da includere nelle limitazioni di spesa previste dall’art. 23, comma 2, del d.lgs. n. 75/2017, in quanto estranea alla </w:t>
      </w:r>
      <w:r w:rsidRPr="002C3E01">
        <w:rPr>
          <w:rFonts w:ascii="Book Antiqua" w:hAnsi="Book Antiqua"/>
          <w:i/>
          <w:szCs w:val="22"/>
        </w:rPr>
        <w:t>ratio</w:t>
      </w:r>
      <w:r w:rsidRPr="00AD7B50">
        <w:rPr>
          <w:rFonts w:ascii="Book Antiqua" w:hAnsi="Book Antiqua"/>
          <w:szCs w:val="22"/>
        </w:rPr>
        <w:t xml:space="preserve"> che costituisce il fondamento del divieto.</w:t>
      </w:r>
    </w:p>
    <w:p w14:paraId="15F4C91F" w14:textId="7A320B4E"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 xml:space="preserve">3.1. La terza questione sollevata dalla Sezione regionale di controllo per la Lombardia si articola in due distinti quesiti, l’uno complementare all’altro: il quesito principale è volto a chiarire se, ai fini del rispetto dell’ammontare massimo annuo del fondo per il lavoro </w:t>
      </w:r>
      <w:r w:rsidRPr="00AD7B50">
        <w:rPr>
          <w:rFonts w:ascii="Book Antiqua" w:hAnsi="Book Antiqua"/>
          <w:szCs w:val="22"/>
        </w:rPr>
        <w:lastRenderedPageBreak/>
        <w:t>straordinario, il calcolo della misura oraria dei compensi possa escludere gli oneri relativi ai rinnovi contrattuali; il secondo quesito, subordinato alla risoluzione del primo, attiene alle conseguenti modalità di determinazione del fondo per il lavoro straordinario ai fini dell’osservanza dei limiti stabiliti dall’art. 23, comma 2, del d.lgs. n. 75/2017 ed è volto a chiarire se si debba far riferimento al suo autonomo tetto di spesa o, piuttosto, ad un tetto di spesa omogeneo a quello delle altre componenti del trattamento economico accessorio.</w:t>
      </w:r>
    </w:p>
    <w:p w14:paraId="6AD457D1" w14:textId="77777777"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Relativamente al primo quesito, viene in considerazione il vincolo di spesa di cui all’art. 14, comma 1, del CCNL 1° aprile 1999, il quale dispone che, per la corresponsione dei compensi relativi alle prestazioni di lavoro straordinario, gli Enti locali possono utilizzare, dal 1999, risorse finanziarie in misura non superiore a quelle destinate, al medesimo fine, nell’anno 1998. Quanto alle modalità di determinazione del compenso orario spettante al lavoratore rileva, invece, l’art. 38, commi 4 e 5, del CCNL 14 settembre 2000, il quale prevede che la misura oraria del compenso per lo straordinario vada determinata maggiorando la misura oraria di lavoro ordinario, calcolata convenzionalmente, di una percentuale variabile in rapporto alla tipologia del lavoro prestato (diurno, festivo o notturno).</w:t>
      </w:r>
    </w:p>
    <w:p w14:paraId="6F39D78C" w14:textId="77777777"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Vertendo il quesito, essenzialmente, sull’esatta interpretazione di dette disposizioni di rango contrattuale, per i motivi sopraccennati il quesito è da ritenere inammissibile, tanto più che le questioni sollevate risultano prive di aspetti problematici capaci di ripercuotersi direttamente sugli equilibri tendenziali di bilancio e sulla sana gestione finanziaria degli enti.</w:t>
      </w:r>
    </w:p>
    <w:p w14:paraId="190F01FC" w14:textId="58C7195E"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 xml:space="preserve">Infatti, se il costo dell’ora di lavoro straordinario dovesse essere depurato, come prospettato dalla Sezione remittente, dell’incremento di costo avente fonte nei rinnovi dei contratti collettivi nazionali </w:t>
      </w:r>
      <w:r w:rsidRPr="002C3E01">
        <w:rPr>
          <w:rFonts w:ascii="Book Antiqua" w:hAnsi="Book Antiqua"/>
          <w:i/>
          <w:szCs w:val="22"/>
        </w:rPr>
        <w:t>medio tempore</w:t>
      </w:r>
      <w:r w:rsidRPr="00AD7B50">
        <w:rPr>
          <w:rFonts w:ascii="Book Antiqua" w:hAnsi="Book Antiqua"/>
          <w:szCs w:val="22"/>
        </w:rPr>
        <w:t xml:space="preserve"> intervenuti, l’ente beneficerebbe, semplicemente, di un numero maggiore di ore di straordinario senza alcun riflesso sul bilancio, considerato, altresì, che gli eventuali risparmi di spesa non potrebbero costituire economie, dovendo essere utilizzati, ai sensi dell’art.</w:t>
      </w:r>
      <w:r w:rsidR="00784520">
        <w:rPr>
          <w:rFonts w:ascii="Book Antiqua" w:hAnsi="Book Antiqua"/>
          <w:szCs w:val="22"/>
        </w:rPr>
        <w:t xml:space="preserve"> </w:t>
      </w:r>
      <w:r w:rsidRPr="00AD7B50">
        <w:rPr>
          <w:rFonts w:ascii="Book Antiqua" w:hAnsi="Book Antiqua"/>
          <w:szCs w:val="22"/>
        </w:rPr>
        <w:t>67, comma 3, lett. e), del CCNL 21 maggio 2018, all’interno del fondo risorse decentrate.</w:t>
      </w:r>
    </w:p>
    <w:p w14:paraId="6FCBD837" w14:textId="1400B525"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3.2. Passando alla seconda ed ultima questione di diritto, occorre evidenziare come il presupposto interpretativo da cui muove la Sezione regionale di controllo Lombardia debba ritenersi solo parzialmente fondato.</w:t>
      </w:r>
    </w:p>
    <w:p w14:paraId="7A32B49B" w14:textId="77777777"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Benché non sia revocabile in dubbio che l’ampiezza dell’espressione utilizzata dall’art. 23, secondo comma, del d.lgs. n. 75/2017 ricomprenda nel proprio ambito applicativo anche il fondo per il lavoro straordinario, in ragione della volontà di estendere la fattispecie normativa ad ogni genere di risorse destinate ad offrire copertura agli oneri accessori del personale, occorre riconoscere, altresì, che le risorse che concorrono alla costituzione del fondo per il lavoro straordinario sono ancorate, nel loro ammontare, a limiti precisi che ne impediscono, di fatto, la crescita.</w:t>
      </w:r>
    </w:p>
    <w:p w14:paraId="06479D9E" w14:textId="77777777"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 xml:space="preserve">La disciplina del fondo contenuta nell’art. 14, comma 1, del CCNL 1° aprile 1999 rinvia, infatti, all’art. 31, comma 2, lett. a), del CCNL 6 luglio 1995, quale fonte di costituzione del </w:t>
      </w:r>
      <w:r w:rsidRPr="00AD7B50">
        <w:rPr>
          <w:rFonts w:ascii="Book Antiqua" w:hAnsi="Book Antiqua"/>
          <w:szCs w:val="22"/>
        </w:rPr>
        <w:lastRenderedPageBreak/>
        <w:t>“fondo per il compenso del lavoro straordinario”, il cui ammontare era costituito “</w:t>
      </w:r>
      <w:r w:rsidRPr="002C3E01">
        <w:rPr>
          <w:rFonts w:ascii="Book Antiqua" w:hAnsi="Book Antiqua"/>
          <w:i/>
          <w:szCs w:val="22"/>
        </w:rPr>
        <w:t>dalla somma calcolata con riferimento all'anno 1993 ai sensi dell' art. 6, comma 2, lettera b) del DPR n. 333 del 1990</w:t>
      </w:r>
      <w:r w:rsidRPr="00AD7B50">
        <w:rPr>
          <w:rFonts w:ascii="Book Antiqua" w:hAnsi="Book Antiqua"/>
          <w:szCs w:val="22"/>
        </w:rPr>
        <w:t>”, corrispondente alla quota residua del “Fondo per il miglioramento dell'efficienza dei servizi” destinata a compensare le prestazioni di lavoro straordinario che si fossero rese necessarie per fronteggiare particolari situazioni di lavoro “</w:t>
      </w:r>
      <w:r w:rsidRPr="002C3E01">
        <w:rPr>
          <w:rFonts w:ascii="Book Antiqua" w:hAnsi="Book Antiqua"/>
          <w:i/>
          <w:szCs w:val="22"/>
        </w:rPr>
        <w:t>nel limite della spesa sostenuta allo stesso titolo nell'anno precedente</w:t>
      </w:r>
      <w:r w:rsidRPr="00AD7B50">
        <w:rPr>
          <w:rFonts w:ascii="Book Antiqua" w:hAnsi="Book Antiqua"/>
          <w:szCs w:val="22"/>
        </w:rPr>
        <w:t>”.</w:t>
      </w:r>
    </w:p>
    <w:p w14:paraId="04765AE4" w14:textId="77777777"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Così ricostruite le origini dell’istituto, il fondo è stato rideterminato, di anno in anno, in misura fissa, senza necessità di ulteriori ricalcoli che non fossero quelli richiesti da occasionali riduzioni percentuali previste “</w:t>
      </w:r>
      <w:r w:rsidRPr="002C3E01">
        <w:rPr>
          <w:rFonts w:ascii="Book Antiqua" w:hAnsi="Book Antiqua"/>
          <w:i/>
          <w:szCs w:val="22"/>
        </w:rPr>
        <w:t>una tantum</w:t>
      </w:r>
      <w:r w:rsidRPr="00AD7B50">
        <w:rPr>
          <w:rFonts w:ascii="Book Antiqua" w:hAnsi="Book Antiqua"/>
          <w:szCs w:val="22"/>
        </w:rPr>
        <w:t xml:space="preserve">” dai successivi contratti collettivi nazionali. </w:t>
      </w:r>
    </w:p>
    <w:p w14:paraId="4B89A1E9" w14:textId="77777777"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Agli enti è stata attribuita unicamente la facoltà di deciderne eventuali variazioni in diminuzione oppure eventuali integrazioni, in via eccezionale e temporanea, con le risorse derivanti da specifiche disposizioni di legge “</w:t>
      </w:r>
      <w:r w:rsidRPr="002C3E01">
        <w:rPr>
          <w:rFonts w:ascii="Book Antiqua" w:hAnsi="Book Antiqua"/>
          <w:i/>
          <w:szCs w:val="22"/>
        </w:rPr>
        <w:t>connesse alla tutela di particolari attività, ed in particolare di quelle elettorali, nonché alla necessità di fronteggiare eventi eccezionali</w:t>
      </w:r>
      <w:r w:rsidRPr="00AD7B50">
        <w:rPr>
          <w:rFonts w:ascii="Book Antiqua" w:hAnsi="Book Antiqua"/>
          <w:szCs w:val="22"/>
        </w:rPr>
        <w:t xml:space="preserve">”. </w:t>
      </w:r>
    </w:p>
    <w:p w14:paraId="7A15539D" w14:textId="77777777"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La scelta di escluderne ogni facoltà di incremento autonomo (in via ordinaria o straordinaria) per far fronte alle particolari esigenze degli enti, appare in linea con la volontà delle parti contraenti di ridurre progressivamente le risorse utilizzabili per il pagamento degli straordinari e di valorizzare le altre forme di trattamento accessorio (poi confluite nei fondi unici) legate a responsabilità, efficienza e risultati conseguiti.</w:t>
      </w:r>
    </w:p>
    <w:p w14:paraId="1F35A46D" w14:textId="5521FD56"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3.3. Il peculiare regime che caratterizza il fondo per il compenso del lavoro straordinario, non modificabile in aumento in quanto diretto a fronteggiare le sole contingenze eccezionali ed imprevedibili, ne ha prodotto la sostanziale “cristallizzazione” nel tempo, poiché insensibile tanto alle misure di contenimento della dinamica retributiva quanto alla evoluzione dei sistemi di classificazione degli istituti coinvolti nelle dinamiche contrattuali del salario accessorio.</w:t>
      </w:r>
    </w:p>
    <w:p w14:paraId="67F19CC6" w14:textId="77777777"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 xml:space="preserve">Se, come più volte ripetuto, la </w:t>
      </w:r>
      <w:r w:rsidRPr="002C3E01">
        <w:rPr>
          <w:rFonts w:ascii="Book Antiqua" w:hAnsi="Book Antiqua"/>
          <w:i/>
          <w:szCs w:val="22"/>
        </w:rPr>
        <w:t>ratio</w:t>
      </w:r>
      <w:r w:rsidRPr="00AD7B50">
        <w:rPr>
          <w:rFonts w:ascii="Book Antiqua" w:hAnsi="Book Antiqua"/>
          <w:szCs w:val="22"/>
        </w:rPr>
        <w:t xml:space="preserve"> del vincolo posto dall’art. 23, comma 2, del d.lgs. n. 75/2017 consiste nel contenere la spesa di personale attraverso un limite alla crescita del trattamento accessorio destinato alla generalità dei dipendenti, deve riconoscersi che il fondo per il lavoro straordinario rientra nel vincolo di spesa in senso puramente “figurativo”, in quanto componente del salario accessorio suscettibile di riduzione ma priva, per sua natura, di alcuna dinamica espansiva. </w:t>
      </w:r>
    </w:p>
    <w:p w14:paraId="3B183418" w14:textId="77777777"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Poco persuasiva appare, dunque, la richiesta della Sezione remittente di neutralizzare gli effetti dei rinnovi contrattuali integrando virtualmente il fondo per il lavoro straordinario degli incrementi percentuali intervenuti fra il 1998 e il 2016.</w:t>
      </w:r>
    </w:p>
    <w:p w14:paraId="2A93403B" w14:textId="1C70420B" w:rsidR="00AD7B50" w:rsidRPr="00AD7B50" w:rsidRDefault="00AD7B50" w:rsidP="00AD7B50">
      <w:pPr>
        <w:shd w:val="clear" w:color="auto" w:fill="FFFFFF"/>
        <w:spacing w:after="120" w:line="340" w:lineRule="exact"/>
        <w:ind w:firstLine="0"/>
        <w:jc w:val="both"/>
        <w:rPr>
          <w:rFonts w:ascii="Book Antiqua" w:hAnsi="Book Antiqua"/>
          <w:szCs w:val="22"/>
        </w:rPr>
      </w:pPr>
      <w:r w:rsidRPr="00AD7B50">
        <w:rPr>
          <w:rFonts w:ascii="Book Antiqua" w:hAnsi="Book Antiqua"/>
          <w:szCs w:val="22"/>
        </w:rPr>
        <w:t>Peraltro, l’assenza di regole che prevedano un necessario equilibrio tra le diverse componenti del trattamento accessorio attraverso il rispetto di predeterminati criteri di proporzionalità</w:t>
      </w:r>
      <w:r w:rsidR="00492959">
        <w:rPr>
          <w:rFonts w:ascii="Book Antiqua" w:hAnsi="Book Antiqua"/>
          <w:szCs w:val="22"/>
        </w:rPr>
        <w:t xml:space="preserve"> tra di esse</w:t>
      </w:r>
      <w:r w:rsidRPr="00AD7B50">
        <w:rPr>
          <w:rFonts w:ascii="Book Antiqua" w:hAnsi="Book Antiqua"/>
          <w:szCs w:val="22"/>
        </w:rPr>
        <w:t>, esclude la necessità di garantire</w:t>
      </w:r>
      <w:r w:rsidR="00492959">
        <w:rPr>
          <w:rFonts w:ascii="Book Antiqua" w:hAnsi="Book Antiqua"/>
          <w:szCs w:val="22"/>
        </w:rPr>
        <w:t xml:space="preserve"> </w:t>
      </w:r>
      <w:r w:rsidRPr="00AD7B50">
        <w:rPr>
          <w:rFonts w:ascii="Book Antiqua" w:hAnsi="Book Antiqua"/>
          <w:szCs w:val="22"/>
        </w:rPr>
        <w:t xml:space="preserve">criteri omogenei di riferimento </w:t>
      </w:r>
      <w:r w:rsidRPr="00AD7B50">
        <w:rPr>
          <w:rFonts w:ascii="Book Antiqua" w:hAnsi="Book Antiqua"/>
          <w:szCs w:val="22"/>
        </w:rPr>
        <w:lastRenderedPageBreak/>
        <w:t>che ne assicurino l’uniforme trattamento rispetto al comune vincolo di spesa posto da norme di coordinamento della finanza pubblica.</w:t>
      </w:r>
    </w:p>
    <w:p w14:paraId="6E13E428" w14:textId="6074CE34" w:rsidR="00AD7B50" w:rsidRPr="00AD7B50" w:rsidRDefault="00AD7B50" w:rsidP="007E6A37">
      <w:pPr>
        <w:shd w:val="clear" w:color="auto" w:fill="FFFFFF"/>
        <w:spacing w:line="340" w:lineRule="exact"/>
        <w:ind w:firstLine="0"/>
        <w:jc w:val="both"/>
        <w:rPr>
          <w:rFonts w:ascii="Book Antiqua" w:hAnsi="Book Antiqua"/>
          <w:szCs w:val="22"/>
        </w:rPr>
      </w:pPr>
      <w:r w:rsidRPr="00AD7B50">
        <w:rPr>
          <w:rFonts w:ascii="Book Antiqua" w:hAnsi="Book Antiqua"/>
          <w:szCs w:val="22"/>
        </w:rPr>
        <w:t>Deve escludersi, pertanto, che, ai fini del rispetto dell’art. 23, comma 2, del d.lgs. n. 75/2017, l’ammontare del fondo per il lavoro straordinario debba essere virtualmente maggiorato degli incrementi contrattuali per rendere omogenee le diverse basi di riferimento temporale applicabili a ciascuna delle componenti del trattamento economico accessorio soggetta a</w:t>
      </w:r>
      <w:r w:rsidR="00277F6A">
        <w:rPr>
          <w:rFonts w:ascii="Book Antiqua" w:hAnsi="Book Antiqua"/>
          <w:szCs w:val="22"/>
        </w:rPr>
        <w:t>l medesimo</w:t>
      </w:r>
      <w:r w:rsidRPr="00AD7B50">
        <w:rPr>
          <w:rFonts w:ascii="Book Antiqua" w:hAnsi="Book Antiqua"/>
          <w:szCs w:val="22"/>
        </w:rPr>
        <w:t xml:space="preserve"> vincol</w:t>
      </w:r>
      <w:r w:rsidR="00277F6A">
        <w:rPr>
          <w:rFonts w:ascii="Book Antiqua" w:hAnsi="Book Antiqua"/>
          <w:szCs w:val="22"/>
        </w:rPr>
        <w:t>o</w:t>
      </w:r>
      <w:r w:rsidRPr="00AD7B50">
        <w:rPr>
          <w:rFonts w:ascii="Book Antiqua" w:hAnsi="Book Antiqua"/>
          <w:szCs w:val="22"/>
        </w:rPr>
        <w:t xml:space="preserve"> di spesa.</w:t>
      </w:r>
    </w:p>
    <w:p w14:paraId="1C877DF4" w14:textId="4EBB76C9" w:rsidR="000D5013" w:rsidRPr="009E39B0" w:rsidRDefault="000D5013" w:rsidP="007E6A37">
      <w:pPr>
        <w:shd w:val="clear" w:color="auto" w:fill="FFFFFF"/>
        <w:spacing w:after="240" w:line="340" w:lineRule="exact"/>
        <w:ind w:firstLine="0"/>
        <w:jc w:val="center"/>
        <w:rPr>
          <w:rFonts w:ascii="Book Antiqua" w:hAnsi="Book Antiqua"/>
          <w:b/>
          <w:spacing w:val="20"/>
          <w:szCs w:val="22"/>
        </w:rPr>
      </w:pPr>
      <w:r w:rsidRPr="009E39B0">
        <w:rPr>
          <w:rFonts w:ascii="Book Antiqua" w:hAnsi="Book Antiqua"/>
          <w:b/>
          <w:spacing w:val="20"/>
          <w:szCs w:val="22"/>
        </w:rPr>
        <w:t>P.Q.M.</w:t>
      </w:r>
    </w:p>
    <w:p w14:paraId="17152A7B" w14:textId="63FD7815" w:rsidR="000D5013" w:rsidRPr="009E39B0" w:rsidRDefault="00171E70" w:rsidP="00C13E9E">
      <w:pPr>
        <w:tabs>
          <w:tab w:val="left" w:pos="0"/>
        </w:tabs>
        <w:spacing w:after="120" w:line="340" w:lineRule="exact"/>
        <w:ind w:firstLine="0"/>
        <w:jc w:val="both"/>
        <w:rPr>
          <w:rFonts w:ascii="Book Antiqua" w:hAnsi="Book Antiqua"/>
          <w:szCs w:val="22"/>
        </w:rPr>
      </w:pPr>
      <w:r w:rsidRPr="009E39B0">
        <w:rPr>
          <w:rFonts w:ascii="Book Antiqua" w:hAnsi="Book Antiqua"/>
          <w:szCs w:val="22"/>
        </w:rPr>
        <w:t>La Sezione delle autonomie della Corte dei conti, pronunciandosi sulla questione di massima post</w:t>
      </w:r>
      <w:r>
        <w:rPr>
          <w:rFonts w:ascii="Book Antiqua" w:hAnsi="Book Antiqua"/>
          <w:szCs w:val="22"/>
        </w:rPr>
        <w:t>a</w:t>
      </w:r>
      <w:r w:rsidRPr="009E39B0">
        <w:rPr>
          <w:rFonts w:ascii="Book Antiqua" w:hAnsi="Book Antiqua"/>
          <w:szCs w:val="22"/>
        </w:rPr>
        <w:t xml:space="preserve"> dalla </w:t>
      </w:r>
      <w:r w:rsidR="000E5B90" w:rsidRPr="000E5B90">
        <w:rPr>
          <w:rFonts w:ascii="Book Antiqua" w:hAnsi="Book Antiqua"/>
          <w:szCs w:val="22"/>
        </w:rPr>
        <w:t xml:space="preserve">Sezione regionale di controllo per </w:t>
      </w:r>
      <w:r w:rsidR="00C13E9E">
        <w:rPr>
          <w:rFonts w:ascii="Book Antiqua" w:hAnsi="Book Antiqua"/>
          <w:szCs w:val="22"/>
        </w:rPr>
        <w:t>la Lombardia</w:t>
      </w:r>
      <w:r w:rsidR="000E5B90" w:rsidRPr="009E39B0">
        <w:rPr>
          <w:rFonts w:ascii="Book Antiqua" w:hAnsi="Book Antiqua"/>
          <w:szCs w:val="22"/>
        </w:rPr>
        <w:t xml:space="preserve"> </w:t>
      </w:r>
      <w:r w:rsidRPr="009E39B0">
        <w:rPr>
          <w:rFonts w:ascii="Book Antiqua" w:hAnsi="Book Antiqua"/>
          <w:szCs w:val="22"/>
        </w:rPr>
        <w:t xml:space="preserve">con la deliberazione n. </w:t>
      </w:r>
      <w:r w:rsidR="00C13E9E">
        <w:rPr>
          <w:rFonts w:ascii="Book Antiqua" w:hAnsi="Book Antiqua"/>
          <w:szCs w:val="22"/>
        </w:rPr>
        <w:t>334</w:t>
      </w:r>
      <w:r w:rsidRPr="009E39B0">
        <w:rPr>
          <w:rFonts w:ascii="Book Antiqua" w:hAnsi="Book Antiqua"/>
          <w:szCs w:val="22"/>
        </w:rPr>
        <w:t>/2018/</w:t>
      </w:r>
      <w:r w:rsidR="00C13E9E">
        <w:rPr>
          <w:rFonts w:ascii="Book Antiqua" w:hAnsi="Book Antiqua"/>
          <w:szCs w:val="22"/>
        </w:rPr>
        <w:t>QMIG</w:t>
      </w:r>
      <w:r w:rsidRPr="009E39B0">
        <w:rPr>
          <w:rFonts w:ascii="Book Antiqua" w:hAnsi="Book Antiqua"/>
          <w:szCs w:val="22"/>
        </w:rPr>
        <w:t>, enuncia i seguent</w:t>
      </w:r>
      <w:r w:rsidR="00C13E9E">
        <w:rPr>
          <w:rFonts w:ascii="Book Antiqua" w:hAnsi="Book Antiqua"/>
          <w:szCs w:val="22"/>
        </w:rPr>
        <w:t>i</w:t>
      </w:r>
      <w:r w:rsidRPr="009E39B0">
        <w:rPr>
          <w:rFonts w:ascii="Book Antiqua" w:hAnsi="Book Antiqua"/>
          <w:szCs w:val="22"/>
        </w:rPr>
        <w:t xml:space="preserve"> principi di diritto:</w:t>
      </w:r>
    </w:p>
    <w:p w14:paraId="17C8526E" w14:textId="0978ACBB" w:rsidR="00C13E9E" w:rsidRPr="00106C22" w:rsidRDefault="00113521" w:rsidP="007E6A37">
      <w:pPr>
        <w:tabs>
          <w:tab w:val="left" w:pos="0"/>
        </w:tabs>
        <w:spacing w:after="120" w:line="340" w:lineRule="exact"/>
        <w:ind w:firstLine="0"/>
        <w:jc w:val="both"/>
        <w:rPr>
          <w:rFonts w:ascii="Book Antiqua" w:hAnsi="Book Antiqua"/>
          <w:i/>
          <w:szCs w:val="22"/>
        </w:rPr>
      </w:pPr>
      <w:r>
        <w:rPr>
          <w:rFonts w:ascii="Book Antiqua" w:hAnsi="Book Antiqua"/>
          <w:i/>
          <w:szCs w:val="22"/>
        </w:rPr>
        <w:t>«</w:t>
      </w:r>
      <w:r w:rsidR="00C13E9E" w:rsidRPr="00106C22">
        <w:rPr>
          <w:rFonts w:ascii="Book Antiqua" w:hAnsi="Book Antiqua"/>
          <w:i/>
          <w:szCs w:val="22"/>
        </w:rPr>
        <w:t xml:space="preserve">La quota dei proventi delle sanzioni amministrative pecuniarie conseguenti alle violazioni del Codice della strada, che gli enti possono destinare, ai sensi dell’art. 208 del d.lgs. 30 aprile 1992, n. 285, al </w:t>
      </w:r>
      <w:r>
        <w:rPr>
          <w:rFonts w:ascii="Book Antiqua" w:hAnsi="Book Antiqua"/>
          <w:i/>
          <w:szCs w:val="22"/>
        </w:rPr>
        <w:t>“</w:t>
      </w:r>
      <w:r w:rsidR="00C13E9E" w:rsidRPr="00106C22">
        <w:rPr>
          <w:rFonts w:ascii="Book Antiqua" w:hAnsi="Book Antiqua"/>
          <w:i/>
          <w:szCs w:val="22"/>
        </w:rPr>
        <w:t>Fondo risorse decentrate</w:t>
      </w:r>
      <w:r>
        <w:rPr>
          <w:rFonts w:ascii="Book Antiqua" w:hAnsi="Book Antiqua"/>
          <w:i/>
          <w:szCs w:val="22"/>
        </w:rPr>
        <w:t>”</w:t>
      </w:r>
      <w:r w:rsidR="00C13E9E" w:rsidRPr="00106C22">
        <w:rPr>
          <w:rFonts w:ascii="Book Antiqua" w:hAnsi="Book Antiqua"/>
          <w:i/>
          <w:szCs w:val="22"/>
        </w:rPr>
        <w:t xml:space="preserve"> per gli incentivi monetari da corrispondere al personale della polizia locale impegnato in progetti di potenziamento dei servizi di controllo finalizzati alla sicurezza urbana e stradale, non può essere utilizzata ad integrazione del fondo per il lavoro straordinario</w:t>
      </w:r>
      <w:r>
        <w:rPr>
          <w:rFonts w:ascii="Book Antiqua" w:hAnsi="Book Antiqua"/>
          <w:i/>
          <w:szCs w:val="22"/>
        </w:rPr>
        <w:t>»</w:t>
      </w:r>
      <w:r w:rsidR="00C13E9E" w:rsidRPr="00106C22">
        <w:rPr>
          <w:rFonts w:ascii="Book Antiqua" w:hAnsi="Book Antiqua"/>
          <w:i/>
          <w:szCs w:val="22"/>
        </w:rPr>
        <w:t>.</w:t>
      </w:r>
    </w:p>
    <w:p w14:paraId="218B41C5" w14:textId="5CC76657" w:rsidR="002C1FFB" w:rsidRPr="00106C22" w:rsidRDefault="0017333A" w:rsidP="002C1FFB">
      <w:pPr>
        <w:shd w:val="clear" w:color="auto" w:fill="FFFFFF"/>
        <w:spacing w:after="120" w:line="340" w:lineRule="exact"/>
        <w:ind w:firstLine="0"/>
        <w:jc w:val="both"/>
        <w:rPr>
          <w:rFonts w:ascii="Book Antiqua" w:hAnsi="Book Antiqua"/>
          <w:szCs w:val="22"/>
        </w:rPr>
      </w:pPr>
      <w:bookmarkStart w:id="14" w:name="_Hlk5282343"/>
      <w:r>
        <w:rPr>
          <w:rFonts w:ascii="Book Antiqua" w:hAnsi="Book Antiqua"/>
          <w:i/>
          <w:szCs w:val="22"/>
        </w:rPr>
        <w:t>«</w:t>
      </w:r>
      <w:bookmarkEnd w:id="14"/>
      <w:r>
        <w:rPr>
          <w:rFonts w:ascii="Book Antiqua" w:hAnsi="Book Antiqua"/>
          <w:i/>
          <w:szCs w:val="22"/>
        </w:rPr>
        <w:t>I</w:t>
      </w:r>
      <w:r w:rsidR="002C1FFB" w:rsidRPr="00106C22">
        <w:rPr>
          <w:rFonts w:ascii="Book Antiqua" w:hAnsi="Book Antiqua"/>
          <w:i/>
          <w:szCs w:val="22"/>
        </w:rPr>
        <w:t xml:space="preserve"> </w:t>
      </w:r>
      <w:r w:rsidR="00822EAD" w:rsidRPr="00106C22">
        <w:rPr>
          <w:rFonts w:ascii="Book Antiqua" w:hAnsi="Book Antiqua"/>
          <w:i/>
          <w:szCs w:val="22"/>
        </w:rPr>
        <w:t xml:space="preserve">predetti </w:t>
      </w:r>
      <w:r w:rsidR="002C1FFB" w:rsidRPr="00106C22">
        <w:rPr>
          <w:rFonts w:ascii="Book Antiqua" w:hAnsi="Book Antiqua"/>
          <w:i/>
          <w:szCs w:val="22"/>
        </w:rPr>
        <w:t xml:space="preserve">proventi sono soggetti al vincolo di finanza pubblica stabilito dall’art. 23, comma 2, del d.lgs. 25 maggio 2017, n. 75, ad eccezione della quota </w:t>
      </w:r>
      <w:r w:rsidR="00750DA1" w:rsidRPr="00106C22">
        <w:rPr>
          <w:rFonts w:ascii="Book Antiqua" w:hAnsi="Book Antiqua"/>
          <w:i/>
          <w:szCs w:val="22"/>
        </w:rPr>
        <w:t>eccedente le</w:t>
      </w:r>
      <w:r w:rsidR="002C1FFB" w:rsidRPr="00106C22">
        <w:rPr>
          <w:rFonts w:ascii="Book Antiqua" w:hAnsi="Book Antiqua"/>
          <w:i/>
          <w:szCs w:val="22"/>
        </w:rPr>
        <w:t xml:space="preserve"> riscossioni </w:t>
      </w:r>
      <w:r w:rsidR="00750DA1" w:rsidRPr="00106C22">
        <w:rPr>
          <w:rFonts w:ascii="Book Antiqua" w:hAnsi="Book Antiqua"/>
          <w:i/>
          <w:szCs w:val="22"/>
        </w:rPr>
        <w:t xml:space="preserve">dell’esercizio precedente </w:t>
      </w:r>
      <w:r w:rsidR="006D1598" w:rsidRPr="00106C22">
        <w:rPr>
          <w:rFonts w:ascii="Book Antiqua" w:hAnsi="Book Antiqua"/>
          <w:i/>
          <w:szCs w:val="22"/>
        </w:rPr>
        <w:t xml:space="preserve">per la parte </w:t>
      </w:r>
      <w:r w:rsidR="00C41693" w:rsidRPr="00106C22">
        <w:rPr>
          <w:rFonts w:ascii="Book Antiqua" w:hAnsi="Book Antiqua"/>
          <w:i/>
          <w:szCs w:val="22"/>
        </w:rPr>
        <w:t xml:space="preserve">eventualmente </w:t>
      </w:r>
      <w:r w:rsidR="002C1FFB" w:rsidRPr="00106C22">
        <w:rPr>
          <w:rFonts w:ascii="Book Antiqua" w:hAnsi="Book Antiqua"/>
          <w:i/>
          <w:szCs w:val="22"/>
        </w:rPr>
        <w:t>confluit</w:t>
      </w:r>
      <w:r w:rsidR="00750DA1" w:rsidRPr="00106C22">
        <w:rPr>
          <w:rFonts w:ascii="Book Antiqua" w:hAnsi="Book Antiqua"/>
          <w:i/>
          <w:szCs w:val="22"/>
        </w:rPr>
        <w:t>a</w:t>
      </w:r>
      <w:r w:rsidR="006D1598" w:rsidRPr="00106C22">
        <w:rPr>
          <w:rFonts w:ascii="Book Antiqua" w:hAnsi="Book Antiqua"/>
          <w:i/>
          <w:szCs w:val="22"/>
        </w:rPr>
        <w:t>, in aumento,</w:t>
      </w:r>
      <w:r w:rsidR="002C1FFB" w:rsidRPr="00106C22">
        <w:rPr>
          <w:rFonts w:ascii="Book Antiqua" w:hAnsi="Book Antiqua"/>
          <w:i/>
          <w:szCs w:val="22"/>
        </w:rPr>
        <w:t xml:space="preserve"> nel </w:t>
      </w:r>
      <w:r>
        <w:rPr>
          <w:rFonts w:ascii="Book Antiqua" w:hAnsi="Book Antiqua"/>
          <w:i/>
          <w:szCs w:val="22"/>
        </w:rPr>
        <w:t>“</w:t>
      </w:r>
      <w:r w:rsidR="002C1FFB" w:rsidRPr="00106C22">
        <w:rPr>
          <w:rFonts w:ascii="Book Antiqua" w:hAnsi="Book Antiqua"/>
          <w:i/>
          <w:szCs w:val="22"/>
        </w:rPr>
        <w:t>Fondo risorse decentrate</w:t>
      </w:r>
      <w:r>
        <w:rPr>
          <w:rFonts w:ascii="Book Antiqua" w:hAnsi="Book Antiqua"/>
          <w:i/>
          <w:szCs w:val="22"/>
        </w:rPr>
        <w:t>”</w:t>
      </w:r>
      <w:r w:rsidR="00750DA1" w:rsidRPr="00106C22">
        <w:rPr>
          <w:rFonts w:ascii="Book Antiqua" w:hAnsi="Book Antiqua"/>
          <w:i/>
          <w:szCs w:val="22"/>
        </w:rPr>
        <w:t xml:space="preserve"> </w:t>
      </w:r>
      <w:r w:rsidR="002C1FFB" w:rsidRPr="00106C22">
        <w:rPr>
          <w:rFonts w:ascii="Book Antiqua" w:hAnsi="Book Antiqua"/>
          <w:i/>
          <w:szCs w:val="22"/>
        </w:rPr>
        <w:t>e destinat</w:t>
      </w:r>
      <w:r w:rsidR="00750DA1" w:rsidRPr="00106C22">
        <w:rPr>
          <w:rFonts w:ascii="Book Antiqua" w:hAnsi="Book Antiqua"/>
          <w:i/>
          <w:szCs w:val="22"/>
        </w:rPr>
        <w:t>a</w:t>
      </w:r>
      <w:r w:rsidR="002C1FFB" w:rsidRPr="00106C22">
        <w:rPr>
          <w:rFonts w:ascii="Book Antiqua" w:hAnsi="Book Antiqua"/>
          <w:i/>
          <w:szCs w:val="22"/>
        </w:rPr>
        <w:t xml:space="preserve"> all’incentivazione di specifiche unità di personale di polizia locale effettivamente impegnate, nell’ambito dei </w:t>
      </w:r>
      <w:r w:rsidR="00845CFB" w:rsidRPr="00106C22">
        <w:rPr>
          <w:rFonts w:ascii="Book Antiqua" w:hAnsi="Book Antiqua"/>
          <w:i/>
          <w:szCs w:val="22"/>
        </w:rPr>
        <w:t>sud</w:t>
      </w:r>
      <w:r w:rsidR="002C1FFB" w:rsidRPr="00106C22">
        <w:rPr>
          <w:rFonts w:ascii="Book Antiqua" w:hAnsi="Book Antiqua"/>
          <w:i/>
          <w:szCs w:val="22"/>
        </w:rPr>
        <w:t>detti progetti, in mansioni suppletive rispetto agli ordinari carichi di lavoro</w:t>
      </w:r>
      <w:bookmarkStart w:id="15" w:name="_Hlk5282372"/>
      <w:r>
        <w:rPr>
          <w:rFonts w:ascii="Book Antiqua" w:hAnsi="Book Antiqua"/>
          <w:i/>
          <w:szCs w:val="22"/>
        </w:rPr>
        <w:t>»</w:t>
      </w:r>
      <w:bookmarkEnd w:id="15"/>
      <w:r w:rsidR="002C1FFB" w:rsidRPr="00106C22">
        <w:rPr>
          <w:rFonts w:ascii="Book Antiqua" w:hAnsi="Book Antiqua"/>
          <w:szCs w:val="22"/>
        </w:rPr>
        <w:t>.</w:t>
      </w:r>
    </w:p>
    <w:p w14:paraId="220B5F84" w14:textId="3976E39B" w:rsidR="000D5013" w:rsidRPr="00106C22" w:rsidRDefault="001F6164" w:rsidP="00C13E9E">
      <w:pPr>
        <w:tabs>
          <w:tab w:val="left" w:pos="0"/>
        </w:tabs>
        <w:spacing w:after="120" w:line="340" w:lineRule="exact"/>
        <w:ind w:firstLine="0"/>
        <w:jc w:val="both"/>
        <w:rPr>
          <w:rFonts w:ascii="Book Antiqua" w:hAnsi="Book Antiqua"/>
          <w:szCs w:val="22"/>
        </w:rPr>
      </w:pPr>
      <w:r w:rsidRPr="001F6164">
        <w:rPr>
          <w:rFonts w:ascii="Book Antiqua" w:hAnsi="Book Antiqua"/>
          <w:i/>
          <w:szCs w:val="22"/>
        </w:rPr>
        <w:t>«</w:t>
      </w:r>
      <w:r w:rsidR="00C13E9E" w:rsidRPr="00106C22">
        <w:rPr>
          <w:rFonts w:ascii="Book Antiqua" w:hAnsi="Book Antiqua"/>
          <w:i/>
          <w:szCs w:val="22"/>
        </w:rPr>
        <w:t>Ai fini del rispetto dell’art. 23, comma 2, del d.lgs. 25 maggio 2017, n. 75, l’ammontare del fondo per il lavoro straordinario non può essere maggiorato della percentuale di aumento derivante dai rinnovi contrattuali allo scopo di rendere omogenee le basi di riferimento temporale applicabili a ciascuna delle componenti del trattamento economico accessorio soggetta a</w:t>
      </w:r>
      <w:r w:rsidR="00277F6A">
        <w:rPr>
          <w:rFonts w:ascii="Book Antiqua" w:hAnsi="Book Antiqua"/>
          <w:i/>
          <w:szCs w:val="22"/>
        </w:rPr>
        <w:t>l medesimo</w:t>
      </w:r>
      <w:r w:rsidR="00C13E9E" w:rsidRPr="00106C22">
        <w:rPr>
          <w:rFonts w:ascii="Book Antiqua" w:hAnsi="Book Antiqua"/>
          <w:i/>
          <w:szCs w:val="22"/>
        </w:rPr>
        <w:t xml:space="preserve"> vincol</w:t>
      </w:r>
      <w:r w:rsidR="00277F6A">
        <w:rPr>
          <w:rFonts w:ascii="Book Antiqua" w:hAnsi="Book Antiqua"/>
          <w:i/>
          <w:szCs w:val="22"/>
        </w:rPr>
        <w:t>o</w:t>
      </w:r>
      <w:r w:rsidR="00C13E9E" w:rsidRPr="00106C22">
        <w:rPr>
          <w:rFonts w:ascii="Book Antiqua" w:hAnsi="Book Antiqua"/>
          <w:i/>
          <w:szCs w:val="22"/>
        </w:rPr>
        <w:t xml:space="preserve"> di spesa</w:t>
      </w:r>
      <w:r w:rsidR="00113521" w:rsidRPr="00113521">
        <w:rPr>
          <w:rFonts w:ascii="Book Antiqua" w:hAnsi="Book Antiqua"/>
          <w:i/>
          <w:szCs w:val="22"/>
        </w:rPr>
        <w:t>»</w:t>
      </w:r>
      <w:r w:rsidR="00C13E9E" w:rsidRPr="00106C22">
        <w:rPr>
          <w:rFonts w:ascii="Book Antiqua" w:hAnsi="Book Antiqua"/>
          <w:i/>
          <w:szCs w:val="22"/>
        </w:rPr>
        <w:t>.</w:t>
      </w:r>
    </w:p>
    <w:p w14:paraId="295C1296" w14:textId="5C843C73" w:rsidR="000D5013" w:rsidRPr="009E39B0" w:rsidRDefault="00171E70" w:rsidP="00986A52">
      <w:pPr>
        <w:tabs>
          <w:tab w:val="left" w:pos="0"/>
        </w:tabs>
        <w:spacing w:after="120" w:line="340" w:lineRule="exact"/>
        <w:ind w:firstLine="0"/>
        <w:jc w:val="both"/>
        <w:rPr>
          <w:rFonts w:ascii="Book Antiqua" w:hAnsi="Book Antiqua"/>
          <w:szCs w:val="22"/>
        </w:rPr>
      </w:pPr>
      <w:r w:rsidRPr="00106C22">
        <w:rPr>
          <w:rFonts w:ascii="Book Antiqua" w:hAnsi="Book Antiqua"/>
          <w:szCs w:val="22"/>
        </w:rPr>
        <w:t xml:space="preserve">La </w:t>
      </w:r>
      <w:r w:rsidR="000E5B90" w:rsidRPr="00106C22">
        <w:rPr>
          <w:rFonts w:ascii="Book Antiqua" w:hAnsi="Book Antiqua"/>
          <w:szCs w:val="22"/>
        </w:rPr>
        <w:t xml:space="preserve">Sezione regionale di controllo per </w:t>
      </w:r>
      <w:r w:rsidR="00C13E9E" w:rsidRPr="00106C22">
        <w:rPr>
          <w:rFonts w:ascii="Book Antiqua" w:hAnsi="Book Antiqua"/>
          <w:szCs w:val="22"/>
        </w:rPr>
        <w:t>la Lombardia</w:t>
      </w:r>
      <w:r w:rsidR="000E5B90" w:rsidRPr="00106C22">
        <w:rPr>
          <w:rFonts w:ascii="Book Antiqua" w:hAnsi="Book Antiqua"/>
          <w:szCs w:val="22"/>
        </w:rPr>
        <w:t xml:space="preserve"> </w:t>
      </w:r>
      <w:r w:rsidRPr="00106C22">
        <w:rPr>
          <w:rFonts w:ascii="Book Antiqua" w:hAnsi="Book Antiqua"/>
          <w:szCs w:val="22"/>
        </w:rPr>
        <w:t>si atterrà a</w:t>
      </w:r>
      <w:r w:rsidR="00947269">
        <w:rPr>
          <w:rFonts w:ascii="Book Antiqua" w:hAnsi="Book Antiqua"/>
          <w:szCs w:val="22"/>
        </w:rPr>
        <w:t>i</w:t>
      </w:r>
      <w:r w:rsidRPr="00106C22">
        <w:rPr>
          <w:rFonts w:ascii="Book Antiqua" w:hAnsi="Book Antiqua"/>
          <w:szCs w:val="22"/>
        </w:rPr>
        <w:t xml:space="preserve"> principi di diritto enunciat</w:t>
      </w:r>
      <w:r w:rsidR="00947269">
        <w:rPr>
          <w:rFonts w:ascii="Book Antiqua" w:hAnsi="Book Antiqua"/>
          <w:szCs w:val="22"/>
        </w:rPr>
        <w:t>i</w:t>
      </w:r>
      <w:r w:rsidRPr="009E39B0">
        <w:rPr>
          <w:rFonts w:ascii="Book Antiqua" w:hAnsi="Book Antiqua"/>
          <w:szCs w:val="22"/>
        </w:rPr>
        <w:t xml:space="preserve"> nel presente atto di orientamento, al quale si conformeranno tutte le Sezioni regionali di controllo ai sensi dell’art. 6, comma 4, del </w:t>
      </w:r>
      <w:proofErr w:type="spellStart"/>
      <w:r w:rsidRPr="009E39B0">
        <w:rPr>
          <w:rFonts w:ascii="Book Antiqua" w:hAnsi="Book Antiqua"/>
          <w:szCs w:val="22"/>
        </w:rPr>
        <w:t>d.l.</w:t>
      </w:r>
      <w:proofErr w:type="spellEnd"/>
      <w:r w:rsidRPr="009E39B0">
        <w:rPr>
          <w:rFonts w:ascii="Book Antiqua" w:hAnsi="Book Antiqua"/>
          <w:szCs w:val="22"/>
        </w:rPr>
        <w:t xml:space="preserve"> 10 ottobre 2012, n. 174, convertito </w:t>
      </w:r>
      <w:r w:rsidR="008438A4">
        <w:rPr>
          <w:rFonts w:ascii="Book Antiqua" w:hAnsi="Book Antiqua"/>
          <w:szCs w:val="22"/>
        </w:rPr>
        <w:t>in</w:t>
      </w:r>
      <w:r w:rsidRPr="009E39B0">
        <w:rPr>
          <w:rFonts w:ascii="Book Antiqua" w:hAnsi="Book Antiqua"/>
          <w:szCs w:val="22"/>
        </w:rPr>
        <w:t xml:space="preserve"> legge 7 dicembre 2012, n. 213.</w:t>
      </w:r>
    </w:p>
    <w:p w14:paraId="1702CAE3" w14:textId="31783852" w:rsidR="006C4FC3" w:rsidRPr="009E39B0" w:rsidRDefault="00171E70" w:rsidP="007E6A37">
      <w:pPr>
        <w:tabs>
          <w:tab w:val="left" w:pos="0"/>
        </w:tabs>
        <w:spacing w:after="200" w:line="340" w:lineRule="exact"/>
        <w:ind w:firstLine="0"/>
        <w:jc w:val="both"/>
        <w:rPr>
          <w:rFonts w:ascii="Book Antiqua" w:hAnsi="Book Antiqua"/>
          <w:szCs w:val="22"/>
        </w:rPr>
      </w:pPr>
      <w:r w:rsidRPr="005429AD">
        <w:rPr>
          <w:rFonts w:ascii="Book Antiqua" w:hAnsi="Book Antiqua"/>
        </w:rPr>
        <w:t>Così deliberato in Roma nell’adunanza del 2</w:t>
      </w:r>
      <w:r w:rsidR="00C13E9E">
        <w:rPr>
          <w:rFonts w:ascii="Book Antiqua" w:hAnsi="Book Antiqua"/>
        </w:rPr>
        <w:t>2 marzo</w:t>
      </w:r>
      <w:r w:rsidRPr="005429AD">
        <w:rPr>
          <w:rFonts w:ascii="Book Antiqua" w:hAnsi="Book Antiqua"/>
        </w:rPr>
        <w:t xml:space="preserve"> 201</w:t>
      </w:r>
      <w:r w:rsidR="00C13E9E">
        <w:rPr>
          <w:rFonts w:ascii="Book Antiqua" w:hAnsi="Book Antiqua"/>
        </w:rPr>
        <w:t>9</w:t>
      </w:r>
      <w:r w:rsidRPr="005429AD">
        <w:rPr>
          <w:rFonts w:ascii="Book Antiqua" w:hAnsi="Book Antiqua"/>
        </w:rPr>
        <w:t>.</w:t>
      </w:r>
    </w:p>
    <w:tbl>
      <w:tblPr>
        <w:tblW w:w="5222" w:type="pct"/>
        <w:jc w:val="center"/>
        <w:tblLook w:val="04A0" w:firstRow="1" w:lastRow="0" w:firstColumn="1" w:lastColumn="0" w:noHBand="0" w:noVBand="1"/>
      </w:tblPr>
      <w:tblGrid>
        <w:gridCol w:w="4678"/>
        <w:gridCol w:w="5388"/>
      </w:tblGrid>
      <w:tr w:rsidR="007C0D4A" w:rsidRPr="009E39B0" w14:paraId="078C1774" w14:textId="77777777" w:rsidTr="00A224FD">
        <w:trPr>
          <w:trHeight w:val="380"/>
          <w:jc w:val="center"/>
        </w:trPr>
        <w:tc>
          <w:tcPr>
            <w:tcW w:w="4678" w:type="dxa"/>
            <w:vAlign w:val="center"/>
            <w:hideMark/>
          </w:tcPr>
          <w:p w14:paraId="7C6CC8B0" w14:textId="722FADEF" w:rsidR="0076064D" w:rsidRPr="009E39B0" w:rsidRDefault="0076064D" w:rsidP="00C34D93">
            <w:pPr>
              <w:tabs>
                <w:tab w:val="left" w:pos="6229"/>
              </w:tabs>
              <w:spacing w:after="40" w:line="340" w:lineRule="exact"/>
              <w:ind w:firstLine="0"/>
              <w:jc w:val="center"/>
              <w:rPr>
                <w:rFonts w:ascii="Book Antiqua" w:eastAsia="Calibri" w:hAnsi="Book Antiqua"/>
                <w:szCs w:val="22"/>
                <w:lang w:eastAsia="en-US"/>
              </w:rPr>
            </w:pPr>
            <w:r w:rsidRPr="009E39B0">
              <w:rPr>
                <w:rFonts w:ascii="Book Antiqua" w:eastAsia="Calibri" w:hAnsi="Book Antiqua"/>
                <w:szCs w:val="22"/>
                <w:lang w:eastAsia="en-US"/>
              </w:rPr>
              <w:t>I</w:t>
            </w:r>
            <w:r w:rsidR="00171E70">
              <w:rPr>
                <w:rFonts w:ascii="Book Antiqua" w:eastAsia="Calibri" w:hAnsi="Book Antiqua"/>
                <w:szCs w:val="22"/>
                <w:lang w:eastAsia="en-US"/>
              </w:rPr>
              <w:t>l</w:t>
            </w:r>
            <w:r w:rsidR="001F3BC8" w:rsidRPr="009E39B0">
              <w:rPr>
                <w:rFonts w:ascii="Book Antiqua" w:eastAsia="Calibri" w:hAnsi="Book Antiqua"/>
                <w:szCs w:val="22"/>
                <w:lang w:eastAsia="en-US"/>
              </w:rPr>
              <w:t xml:space="preserve"> Relator</w:t>
            </w:r>
            <w:r w:rsidR="00171E70">
              <w:rPr>
                <w:rFonts w:ascii="Book Antiqua" w:eastAsia="Calibri" w:hAnsi="Book Antiqua"/>
                <w:szCs w:val="22"/>
                <w:lang w:eastAsia="en-US"/>
              </w:rPr>
              <w:t>e</w:t>
            </w:r>
          </w:p>
        </w:tc>
        <w:tc>
          <w:tcPr>
            <w:tcW w:w="5388" w:type="dxa"/>
            <w:vAlign w:val="center"/>
            <w:hideMark/>
          </w:tcPr>
          <w:p w14:paraId="745BF9D3" w14:textId="1C1399EA" w:rsidR="0076064D" w:rsidRPr="009E39B0" w:rsidRDefault="0076064D" w:rsidP="00C34D93">
            <w:pPr>
              <w:tabs>
                <w:tab w:val="left" w:pos="6229"/>
              </w:tabs>
              <w:spacing w:after="40" w:line="340" w:lineRule="exact"/>
              <w:ind w:firstLine="0"/>
              <w:jc w:val="center"/>
              <w:rPr>
                <w:rFonts w:ascii="Book Antiqua" w:eastAsia="Calibri" w:hAnsi="Book Antiqua"/>
                <w:szCs w:val="22"/>
                <w:lang w:eastAsia="en-US"/>
              </w:rPr>
            </w:pPr>
            <w:r w:rsidRPr="009E39B0">
              <w:rPr>
                <w:rFonts w:ascii="Book Antiqua" w:eastAsia="Calibri" w:hAnsi="Book Antiqua"/>
                <w:szCs w:val="22"/>
                <w:lang w:eastAsia="en-US"/>
              </w:rPr>
              <w:t>Il Presidente</w:t>
            </w:r>
          </w:p>
        </w:tc>
      </w:tr>
      <w:tr w:rsidR="009B6004" w:rsidRPr="009E39B0" w14:paraId="5FA4E174" w14:textId="77777777" w:rsidTr="00A224FD">
        <w:trPr>
          <w:trHeight w:val="80"/>
          <w:jc w:val="center"/>
        </w:trPr>
        <w:tc>
          <w:tcPr>
            <w:tcW w:w="4678" w:type="dxa"/>
            <w:vAlign w:val="center"/>
          </w:tcPr>
          <w:p w14:paraId="56F77A70" w14:textId="0CE15EFC" w:rsidR="009B6004" w:rsidRPr="009E39B0" w:rsidRDefault="003E46C1" w:rsidP="00A224FD">
            <w:pPr>
              <w:tabs>
                <w:tab w:val="left" w:pos="6229"/>
              </w:tabs>
              <w:spacing w:line="340" w:lineRule="exact"/>
              <w:ind w:firstLine="0"/>
              <w:jc w:val="center"/>
              <w:rPr>
                <w:rFonts w:ascii="Book Antiqua" w:eastAsia="Calibri" w:hAnsi="Book Antiqua"/>
                <w:szCs w:val="22"/>
                <w:lang w:eastAsia="en-US"/>
              </w:rPr>
            </w:pPr>
            <w:r>
              <w:rPr>
                <w:rFonts w:ascii="Book Antiqua" w:hAnsi="Book Antiqua"/>
                <w:szCs w:val="22"/>
              </w:rPr>
              <w:t xml:space="preserve">F.to </w:t>
            </w:r>
            <w:r w:rsidR="000E5B90">
              <w:rPr>
                <w:rFonts w:ascii="Book Antiqua" w:hAnsi="Book Antiqua"/>
                <w:szCs w:val="22"/>
              </w:rPr>
              <w:t>Francesco UCCELLO</w:t>
            </w:r>
          </w:p>
        </w:tc>
        <w:tc>
          <w:tcPr>
            <w:tcW w:w="5388" w:type="dxa"/>
            <w:vAlign w:val="center"/>
          </w:tcPr>
          <w:p w14:paraId="6F20FD5E" w14:textId="7E80B7F5" w:rsidR="009B6004" w:rsidRPr="009E39B0" w:rsidRDefault="003E46C1" w:rsidP="00A224FD">
            <w:pPr>
              <w:tabs>
                <w:tab w:val="left" w:pos="6229"/>
              </w:tabs>
              <w:spacing w:after="40" w:line="340" w:lineRule="exact"/>
              <w:ind w:firstLine="0"/>
              <w:jc w:val="center"/>
              <w:rPr>
                <w:rFonts w:ascii="Book Antiqua" w:eastAsia="Calibri" w:hAnsi="Book Antiqua"/>
                <w:szCs w:val="22"/>
                <w:lang w:eastAsia="en-US"/>
              </w:rPr>
            </w:pPr>
            <w:r>
              <w:rPr>
                <w:rFonts w:ascii="Book Antiqua" w:eastAsia="Calibri" w:hAnsi="Book Antiqua"/>
                <w:szCs w:val="22"/>
                <w:lang w:eastAsia="en-US"/>
              </w:rPr>
              <w:t>F.to</w:t>
            </w:r>
            <w:r w:rsidR="00C638E6">
              <w:rPr>
                <w:rFonts w:ascii="Book Antiqua" w:eastAsia="Calibri" w:hAnsi="Book Antiqua"/>
                <w:szCs w:val="22"/>
                <w:lang w:eastAsia="en-US"/>
              </w:rPr>
              <w:t xml:space="preserve"> </w:t>
            </w:r>
            <w:r w:rsidR="00A224FD" w:rsidRPr="009E39B0">
              <w:rPr>
                <w:rFonts w:ascii="Book Antiqua" w:eastAsia="Calibri" w:hAnsi="Book Antiqua"/>
                <w:szCs w:val="22"/>
                <w:lang w:eastAsia="en-US"/>
              </w:rPr>
              <w:t>Angelo BUSCEMA</w:t>
            </w:r>
          </w:p>
        </w:tc>
      </w:tr>
      <w:tr w:rsidR="009B6004" w:rsidRPr="009E39B0" w14:paraId="1B911888" w14:textId="77777777" w:rsidTr="00A224FD">
        <w:trPr>
          <w:trHeight w:val="135"/>
          <w:jc w:val="center"/>
        </w:trPr>
        <w:tc>
          <w:tcPr>
            <w:tcW w:w="4678" w:type="dxa"/>
            <w:vAlign w:val="center"/>
          </w:tcPr>
          <w:p w14:paraId="6F51BDDE" w14:textId="77777777" w:rsidR="009B6004" w:rsidRPr="009E39B0" w:rsidRDefault="009B6004" w:rsidP="00476655">
            <w:pPr>
              <w:tabs>
                <w:tab w:val="left" w:pos="6229"/>
              </w:tabs>
              <w:spacing w:line="340" w:lineRule="exact"/>
              <w:ind w:firstLine="0"/>
              <w:jc w:val="center"/>
              <w:rPr>
                <w:rFonts w:ascii="Book Antiqua" w:hAnsi="Book Antiqua"/>
                <w:szCs w:val="22"/>
              </w:rPr>
            </w:pPr>
          </w:p>
        </w:tc>
        <w:tc>
          <w:tcPr>
            <w:tcW w:w="5388" w:type="dxa"/>
            <w:vAlign w:val="center"/>
          </w:tcPr>
          <w:p w14:paraId="2DEDEC5B" w14:textId="77777777" w:rsidR="009B6004" w:rsidRPr="009E39B0" w:rsidRDefault="009B6004" w:rsidP="00C34D93">
            <w:pPr>
              <w:tabs>
                <w:tab w:val="left" w:pos="6229"/>
              </w:tabs>
              <w:spacing w:after="40" w:line="340" w:lineRule="exact"/>
              <w:ind w:firstLine="0"/>
              <w:jc w:val="center"/>
              <w:rPr>
                <w:rFonts w:ascii="Book Antiqua" w:eastAsia="Calibri" w:hAnsi="Book Antiqua"/>
                <w:szCs w:val="22"/>
                <w:lang w:eastAsia="en-US"/>
              </w:rPr>
            </w:pPr>
          </w:p>
        </w:tc>
      </w:tr>
    </w:tbl>
    <w:p w14:paraId="6C496D7F" w14:textId="1C95D301" w:rsidR="0076064D" w:rsidRPr="009E39B0" w:rsidRDefault="00E3676A" w:rsidP="007E6A37">
      <w:pPr>
        <w:spacing w:after="80" w:line="340" w:lineRule="exact"/>
        <w:ind w:firstLine="709"/>
        <w:jc w:val="both"/>
        <w:rPr>
          <w:rStyle w:val="Enfasigrassetto"/>
          <w:rFonts w:ascii="Book Antiqua" w:hAnsi="Book Antiqua"/>
          <w:b w:val="0"/>
          <w:bCs/>
          <w:szCs w:val="22"/>
        </w:rPr>
      </w:pPr>
      <w:r w:rsidRPr="009E39B0">
        <w:rPr>
          <w:rStyle w:val="Enfasigrassetto"/>
          <w:rFonts w:ascii="Book Antiqua" w:hAnsi="Book Antiqua"/>
          <w:b w:val="0"/>
          <w:bCs/>
          <w:szCs w:val="22"/>
        </w:rPr>
        <w:t>Depositata in s</w:t>
      </w:r>
      <w:r w:rsidR="0076064D" w:rsidRPr="009E39B0">
        <w:rPr>
          <w:rStyle w:val="Enfasigrassetto"/>
          <w:rFonts w:ascii="Book Antiqua" w:hAnsi="Book Antiqua"/>
          <w:b w:val="0"/>
          <w:bCs/>
          <w:szCs w:val="22"/>
        </w:rPr>
        <w:t>egreteria il</w:t>
      </w:r>
      <w:r w:rsidR="00D528EA" w:rsidRPr="009E39B0">
        <w:rPr>
          <w:rStyle w:val="Enfasigrassetto"/>
          <w:rFonts w:ascii="Book Antiqua" w:hAnsi="Book Antiqua"/>
          <w:b w:val="0"/>
          <w:bCs/>
          <w:szCs w:val="22"/>
        </w:rPr>
        <w:t xml:space="preserve"> </w:t>
      </w:r>
      <w:r w:rsidR="00C638E6">
        <w:rPr>
          <w:rStyle w:val="Enfasigrassetto"/>
          <w:rFonts w:ascii="Book Antiqua" w:hAnsi="Book Antiqua"/>
          <w:b w:val="0"/>
          <w:bCs/>
          <w:szCs w:val="22"/>
        </w:rPr>
        <w:t>9 aprile 2019</w:t>
      </w:r>
    </w:p>
    <w:p w14:paraId="57FA9CD8" w14:textId="3E3CDB7D" w:rsidR="0076064D" w:rsidRPr="009E39B0" w:rsidRDefault="006F5274" w:rsidP="00C34D93">
      <w:pPr>
        <w:spacing w:line="340" w:lineRule="exact"/>
        <w:ind w:firstLine="0"/>
        <w:jc w:val="center"/>
        <w:rPr>
          <w:rStyle w:val="Enfasigrassetto"/>
          <w:rFonts w:ascii="Book Antiqua" w:hAnsi="Book Antiqua"/>
          <w:b w:val="0"/>
          <w:bCs/>
          <w:szCs w:val="22"/>
        </w:rPr>
      </w:pPr>
      <w:r>
        <w:rPr>
          <w:rStyle w:val="Enfasigrassetto"/>
          <w:rFonts w:ascii="Book Antiqua" w:hAnsi="Book Antiqua"/>
          <w:b w:val="0"/>
          <w:bCs/>
          <w:szCs w:val="22"/>
        </w:rPr>
        <w:t>Il Funzionario incari</w:t>
      </w:r>
      <w:r w:rsidR="00A94ABF">
        <w:rPr>
          <w:rStyle w:val="Enfasigrassetto"/>
          <w:rFonts w:ascii="Book Antiqua" w:hAnsi="Book Antiqua"/>
          <w:b w:val="0"/>
          <w:bCs/>
          <w:szCs w:val="22"/>
        </w:rPr>
        <w:t>cato</w:t>
      </w:r>
    </w:p>
    <w:p w14:paraId="6B4676BD" w14:textId="34995A94" w:rsidR="00E60CF5" w:rsidRPr="009E39B0" w:rsidRDefault="00943DD6" w:rsidP="009E39B0">
      <w:pPr>
        <w:spacing w:after="120" w:line="340" w:lineRule="exact"/>
        <w:ind w:firstLine="0"/>
        <w:jc w:val="center"/>
        <w:rPr>
          <w:rFonts w:ascii="Book Antiqua" w:eastAsia="Times New Roman" w:hAnsi="Book Antiqua"/>
          <w:bCs/>
          <w:iCs/>
          <w:snapToGrid w:val="0"/>
          <w:spacing w:val="-4"/>
          <w:szCs w:val="22"/>
          <w:lang w:eastAsia="en-US"/>
        </w:rPr>
      </w:pPr>
      <w:r>
        <w:rPr>
          <w:rStyle w:val="Enfasigrassetto"/>
          <w:rFonts w:ascii="Book Antiqua" w:hAnsi="Book Antiqua"/>
          <w:b w:val="0"/>
          <w:bCs/>
          <w:szCs w:val="22"/>
        </w:rPr>
        <w:t xml:space="preserve">F.to </w:t>
      </w:r>
      <w:bookmarkStart w:id="16" w:name="_GoBack"/>
      <w:bookmarkEnd w:id="16"/>
      <w:r w:rsidR="00A94ABF">
        <w:rPr>
          <w:rStyle w:val="Enfasigrassetto"/>
          <w:rFonts w:ascii="Book Antiqua" w:hAnsi="Book Antiqua"/>
          <w:b w:val="0"/>
          <w:bCs/>
          <w:szCs w:val="22"/>
        </w:rPr>
        <w:t>Grazia MARZELLA</w:t>
      </w:r>
      <w:r w:rsidR="00E60CF5" w:rsidRPr="009E39B0">
        <w:rPr>
          <w:rFonts w:ascii="Book Antiqua" w:eastAsia="Times New Roman" w:hAnsi="Book Antiqua"/>
          <w:bCs/>
          <w:iCs/>
          <w:snapToGrid w:val="0"/>
          <w:spacing w:val="-4"/>
          <w:szCs w:val="22"/>
          <w:lang w:eastAsia="en-US"/>
        </w:rPr>
        <w:t xml:space="preserve"> </w:t>
      </w:r>
    </w:p>
    <w:sectPr w:rsidR="00E60CF5" w:rsidRPr="009E39B0" w:rsidSect="0071460A">
      <w:footerReference w:type="default" r:id="rId13"/>
      <w:pgSz w:w="11906" w:h="16838" w:code="9"/>
      <w:pgMar w:top="1418" w:right="1134" w:bottom="1418" w:left="1134" w:header="709"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87C31" w14:textId="77777777" w:rsidR="00A23A0E" w:rsidRDefault="00A23A0E">
      <w:r>
        <w:separator/>
      </w:r>
    </w:p>
  </w:endnote>
  <w:endnote w:type="continuationSeparator" w:id="0">
    <w:p w14:paraId="240228B1" w14:textId="77777777" w:rsidR="00A23A0E" w:rsidRDefault="00A2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Yu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26C77" w14:textId="76789C12" w:rsidR="00057E2C" w:rsidRDefault="00057E2C" w:rsidP="0071460A">
    <w:pPr>
      <w:pStyle w:val="Pidipagina"/>
      <w:ind w:firstLine="0"/>
      <w:jc w:val="center"/>
    </w:pPr>
    <w:r>
      <w:fldChar w:fldCharType="begin"/>
    </w:r>
    <w:r>
      <w:instrText>PAGE   \* MERGEFORMAT</w:instrText>
    </w:r>
    <w:r>
      <w:fldChar w:fldCharType="separate"/>
    </w:r>
    <w:r>
      <w:rPr>
        <w:noProof/>
      </w:rPr>
      <w:t>8</w:t>
    </w:r>
    <w:r>
      <w:fldChar w:fldCharType="end"/>
    </w:r>
  </w:p>
  <w:p w14:paraId="06C7EF45" w14:textId="77777777" w:rsidR="00057E2C" w:rsidRDefault="00057E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F0D45" w14:textId="77777777" w:rsidR="00A23A0E" w:rsidRDefault="00A23A0E">
      <w:r>
        <w:separator/>
      </w:r>
    </w:p>
  </w:footnote>
  <w:footnote w:type="continuationSeparator" w:id="0">
    <w:p w14:paraId="44F432BC" w14:textId="77777777" w:rsidR="00A23A0E" w:rsidRDefault="00A23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893"/>
    <w:multiLevelType w:val="hybridMultilevel"/>
    <w:tmpl w:val="E618B0C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88752D3"/>
    <w:multiLevelType w:val="hybridMultilevel"/>
    <w:tmpl w:val="709461B6"/>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A191CA5"/>
    <w:multiLevelType w:val="hybridMultilevel"/>
    <w:tmpl w:val="1A407B9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9868F2"/>
    <w:multiLevelType w:val="hybridMultilevel"/>
    <w:tmpl w:val="F9FA931A"/>
    <w:lvl w:ilvl="0" w:tplc="C74680DC">
      <w:start w:val="1"/>
      <w:numFmt w:val="lowerLetter"/>
      <w:lvlText w:val="%1)"/>
      <w:lvlJc w:val="left"/>
      <w:pPr>
        <w:ind w:left="927" w:hanging="360"/>
      </w:pPr>
      <w:rPr>
        <w:rFonts w:cs="Times New Roman" w:hint="default"/>
        <w:b/>
        <w:i/>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4" w15:restartNumberingAfterBreak="0">
    <w:nsid w:val="15EF2E2F"/>
    <w:multiLevelType w:val="hybridMultilevel"/>
    <w:tmpl w:val="C060BE94"/>
    <w:lvl w:ilvl="0" w:tplc="BB5E7CD0">
      <w:start w:val="1"/>
      <w:numFmt w:val="decimal"/>
      <w:lvlText w:val="%1."/>
      <w:lvlJc w:val="left"/>
      <w:pPr>
        <w:ind w:left="972" w:hanging="405"/>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19725CDC"/>
    <w:multiLevelType w:val="hybridMultilevel"/>
    <w:tmpl w:val="746E16A0"/>
    <w:lvl w:ilvl="0" w:tplc="3F4CBB3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DA54F3"/>
    <w:multiLevelType w:val="hybridMultilevel"/>
    <w:tmpl w:val="8824743C"/>
    <w:lvl w:ilvl="0" w:tplc="E82EDB7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772517"/>
    <w:multiLevelType w:val="hybridMultilevel"/>
    <w:tmpl w:val="5A32AA2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DF1CD9"/>
    <w:multiLevelType w:val="hybridMultilevel"/>
    <w:tmpl w:val="91701542"/>
    <w:lvl w:ilvl="0" w:tplc="8CF4EAE2">
      <w:start w:val="1"/>
      <w:numFmt w:val="decimal"/>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9" w15:restartNumberingAfterBreak="0">
    <w:nsid w:val="28BE4761"/>
    <w:multiLevelType w:val="hybridMultilevel"/>
    <w:tmpl w:val="459A9CFA"/>
    <w:lvl w:ilvl="0" w:tplc="F69AF792">
      <w:numFmt w:val="bullet"/>
      <w:lvlText w:val="-"/>
      <w:lvlJc w:val="left"/>
      <w:pPr>
        <w:ind w:left="927" w:hanging="360"/>
      </w:pPr>
      <w:rPr>
        <w:rFonts w:ascii="Verdana" w:eastAsia="Times New Roman" w:hAnsi="Verdana"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2AB106DC"/>
    <w:multiLevelType w:val="hybridMultilevel"/>
    <w:tmpl w:val="37F89B62"/>
    <w:lvl w:ilvl="0" w:tplc="021C6550">
      <w:start w:val="1"/>
      <w:numFmt w:val="decimal"/>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1" w15:restartNumberingAfterBreak="0">
    <w:nsid w:val="2D19447C"/>
    <w:multiLevelType w:val="hybridMultilevel"/>
    <w:tmpl w:val="0E981942"/>
    <w:lvl w:ilvl="0" w:tplc="6378819E">
      <w:start w:val="1"/>
      <w:numFmt w:val="upperLetter"/>
      <w:lvlText w:val="%1)"/>
      <w:lvlJc w:val="left"/>
      <w:pPr>
        <w:ind w:left="927" w:hanging="360"/>
      </w:pPr>
      <w:rPr>
        <w:rFonts w:cs="Times New Roman" w:hint="default"/>
      </w:rPr>
    </w:lvl>
    <w:lvl w:ilvl="1" w:tplc="04100019" w:tentative="1">
      <w:start w:val="1"/>
      <w:numFmt w:val="lowerLetter"/>
      <w:lvlText w:val="%2."/>
      <w:lvlJc w:val="left"/>
      <w:pPr>
        <w:ind w:left="1647" w:hanging="360"/>
      </w:pPr>
      <w:rPr>
        <w:rFonts w:cs="Times New Roman"/>
      </w:rPr>
    </w:lvl>
    <w:lvl w:ilvl="2" w:tplc="0410001B" w:tentative="1">
      <w:start w:val="1"/>
      <w:numFmt w:val="lowerRoman"/>
      <w:lvlText w:val="%3."/>
      <w:lvlJc w:val="right"/>
      <w:pPr>
        <w:ind w:left="2367" w:hanging="180"/>
      </w:pPr>
      <w:rPr>
        <w:rFonts w:cs="Times New Roman"/>
      </w:rPr>
    </w:lvl>
    <w:lvl w:ilvl="3" w:tplc="0410000F" w:tentative="1">
      <w:start w:val="1"/>
      <w:numFmt w:val="decimal"/>
      <w:lvlText w:val="%4."/>
      <w:lvlJc w:val="left"/>
      <w:pPr>
        <w:ind w:left="3087" w:hanging="360"/>
      </w:pPr>
      <w:rPr>
        <w:rFonts w:cs="Times New Roman"/>
      </w:rPr>
    </w:lvl>
    <w:lvl w:ilvl="4" w:tplc="04100019" w:tentative="1">
      <w:start w:val="1"/>
      <w:numFmt w:val="lowerLetter"/>
      <w:lvlText w:val="%5."/>
      <w:lvlJc w:val="left"/>
      <w:pPr>
        <w:ind w:left="3807" w:hanging="360"/>
      </w:pPr>
      <w:rPr>
        <w:rFonts w:cs="Times New Roman"/>
      </w:rPr>
    </w:lvl>
    <w:lvl w:ilvl="5" w:tplc="0410001B" w:tentative="1">
      <w:start w:val="1"/>
      <w:numFmt w:val="lowerRoman"/>
      <w:lvlText w:val="%6."/>
      <w:lvlJc w:val="right"/>
      <w:pPr>
        <w:ind w:left="4527" w:hanging="180"/>
      </w:pPr>
      <w:rPr>
        <w:rFonts w:cs="Times New Roman"/>
      </w:rPr>
    </w:lvl>
    <w:lvl w:ilvl="6" w:tplc="0410000F" w:tentative="1">
      <w:start w:val="1"/>
      <w:numFmt w:val="decimal"/>
      <w:lvlText w:val="%7."/>
      <w:lvlJc w:val="left"/>
      <w:pPr>
        <w:ind w:left="5247" w:hanging="360"/>
      </w:pPr>
      <w:rPr>
        <w:rFonts w:cs="Times New Roman"/>
      </w:rPr>
    </w:lvl>
    <w:lvl w:ilvl="7" w:tplc="04100019" w:tentative="1">
      <w:start w:val="1"/>
      <w:numFmt w:val="lowerLetter"/>
      <w:lvlText w:val="%8."/>
      <w:lvlJc w:val="left"/>
      <w:pPr>
        <w:ind w:left="5967" w:hanging="360"/>
      </w:pPr>
      <w:rPr>
        <w:rFonts w:cs="Times New Roman"/>
      </w:rPr>
    </w:lvl>
    <w:lvl w:ilvl="8" w:tplc="0410001B" w:tentative="1">
      <w:start w:val="1"/>
      <w:numFmt w:val="lowerRoman"/>
      <w:lvlText w:val="%9."/>
      <w:lvlJc w:val="right"/>
      <w:pPr>
        <w:ind w:left="6687" w:hanging="180"/>
      </w:pPr>
      <w:rPr>
        <w:rFonts w:cs="Times New Roman"/>
      </w:rPr>
    </w:lvl>
  </w:abstractNum>
  <w:abstractNum w:abstractNumId="12" w15:restartNumberingAfterBreak="0">
    <w:nsid w:val="2D780E9E"/>
    <w:multiLevelType w:val="hybridMultilevel"/>
    <w:tmpl w:val="96A00D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DAE1A2D"/>
    <w:multiLevelType w:val="multilevel"/>
    <w:tmpl w:val="D40673F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0167D4A"/>
    <w:multiLevelType w:val="hybridMultilevel"/>
    <w:tmpl w:val="C8BA3DBC"/>
    <w:lvl w:ilvl="0" w:tplc="BF22FE7E">
      <w:numFmt w:val="bullet"/>
      <w:lvlText w:val="-"/>
      <w:lvlJc w:val="left"/>
      <w:pPr>
        <w:ind w:left="927" w:hanging="360"/>
      </w:pPr>
      <w:rPr>
        <w:rFonts w:ascii="Verdana" w:eastAsia="Times New Roman" w:hAnsi="Verdana"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5" w15:restartNumberingAfterBreak="0">
    <w:nsid w:val="35A70A5F"/>
    <w:multiLevelType w:val="hybridMultilevel"/>
    <w:tmpl w:val="8612D1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8874352"/>
    <w:multiLevelType w:val="hybridMultilevel"/>
    <w:tmpl w:val="D5BE6486"/>
    <w:lvl w:ilvl="0" w:tplc="13E216B4">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787DDA"/>
    <w:multiLevelType w:val="hybridMultilevel"/>
    <w:tmpl w:val="D0643B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F52878"/>
    <w:multiLevelType w:val="hybridMultilevel"/>
    <w:tmpl w:val="FE8A8E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AA1016"/>
    <w:multiLevelType w:val="hybridMultilevel"/>
    <w:tmpl w:val="C1E4BBEC"/>
    <w:lvl w:ilvl="0" w:tplc="ED625A3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5B2C5E"/>
    <w:multiLevelType w:val="hybridMultilevel"/>
    <w:tmpl w:val="E01C40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5F467D4"/>
    <w:multiLevelType w:val="hybridMultilevel"/>
    <w:tmpl w:val="0A1291B0"/>
    <w:lvl w:ilvl="0" w:tplc="E50E015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5D70B1"/>
    <w:multiLevelType w:val="hybridMultilevel"/>
    <w:tmpl w:val="3970E958"/>
    <w:lvl w:ilvl="0" w:tplc="CC14D89A">
      <w:start w:val="1"/>
      <w:numFmt w:val="lowerLetter"/>
      <w:lvlText w:val="%1)"/>
      <w:lvlJc w:val="left"/>
      <w:rPr>
        <w:rFonts w:ascii="Times New Roman" w:eastAsia="PMingLiU" w:hAnsi="Times New Roman" w:cs="Times New Roman" w:hint="default"/>
        <w:i w:val="0"/>
      </w:rPr>
    </w:lvl>
    <w:lvl w:ilvl="1" w:tplc="7604FE02">
      <w:start w:val="2"/>
      <w:numFmt w:val="lowerLetter"/>
      <w:lvlText w:val="%2)"/>
      <w:lvlJc w:val="left"/>
      <w:pPr>
        <w:tabs>
          <w:tab w:val="num" w:pos="4702"/>
        </w:tabs>
        <w:ind w:left="4702" w:hanging="360"/>
      </w:pPr>
      <w:rPr>
        <w:rFonts w:cs="Times New Roman" w:hint="default"/>
      </w:rPr>
    </w:lvl>
    <w:lvl w:ilvl="2" w:tplc="0410001B" w:tentative="1">
      <w:start w:val="1"/>
      <w:numFmt w:val="lowerRoman"/>
      <w:lvlText w:val="%3."/>
      <w:lvlJc w:val="right"/>
      <w:pPr>
        <w:ind w:left="5422" w:hanging="180"/>
      </w:pPr>
      <w:rPr>
        <w:rFonts w:cs="Times New Roman"/>
      </w:rPr>
    </w:lvl>
    <w:lvl w:ilvl="3" w:tplc="0410000F" w:tentative="1">
      <w:start w:val="1"/>
      <w:numFmt w:val="decimal"/>
      <w:lvlText w:val="%4."/>
      <w:lvlJc w:val="left"/>
      <w:pPr>
        <w:ind w:left="6142" w:hanging="360"/>
      </w:pPr>
      <w:rPr>
        <w:rFonts w:cs="Times New Roman"/>
      </w:rPr>
    </w:lvl>
    <w:lvl w:ilvl="4" w:tplc="04100019" w:tentative="1">
      <w:start w:val="1"/>
      <w:numFmt w:val="lowerLetter"/>
      <w:lvlText w:val="%5."/>
      <w:lvlJc w:val="left"/>
      <w:pPr>
        <w:ind w:left="6862" w:hanging="360"/>
      </w:pPr>
      <w:rPr>
        <w:rFonts w:cs="Times New Roman"/>
      </w:rPr>
    </w:lvl>
    <w:lvl w:ilvl="5" w:tplc="0410001B" w:tentative="1">
      <w:start w:val="1"/>
      <w:numFmt w:val="lowerRoman"/>
      <w:lvlText w:val="%6."/>
      <w:lvlJc w:val="right"/>
      <w:pPr>
        <w:ind w:left="7582" w:hanging="180"/>
      </w:pPr>
      <w:rPr>
        <w:rFonts w:cs="Times New Roman"/>
      </w:rPr>
    </w:lvl>
    <w:lvl w:ilvl="6" w:tplc="0410000F" w:tentative="1">
      <w:start w:val="1"/>
      <w:numFmt w:val="decimal"/>
      <w:lvlText w:val="%7."/>
      <w:lvlJc w:val="left"/>
      <w:pPr>
        <w:ind w:left="8302" w:hanging="360"/>
      </w:pPr>
      <w:rPr>
        <w:rFonts w:cs="Times New Roman"/>
      </w:rPr>
    </w:lvl>
    <w:lvl w:ilvl="7" w:tplc="04100019" w:tentative="1">
      <w:start w:val="1"/>
      <w:numFmt w:val="lowerLetter"/>
      <w:lvlText w:val="%8."/>
      <w:lvlJc w:val="left"/>
      <w:pPr>
        <w:ind w:left="9022" w:hanging="360"/>
      </w:pPr>
      <w:rPr>
        <w:rFonts w:cs="Times New Roman"/>
      </w:rPr>
    </w:lvl>
    <w:lvl w:ilvl="8" w:tplc="0410001B" w:tentative="1">
      <w:start w:val="1"/>
      <w:numFmt w:val="lowerRoman"/>
      <w:lvlText w:val="%9."/>
      <w:lvlJc w:val="right"/>
      <w:pPr>
        <w:ind w:left="9742" w:hanging="180"/>
      </w:pPr>
      <w:rPr>
        <w:rFonts w:cs="Times New Roman"/>
      </w:rPr>
    </w:lvl>
  </w:abstractNum>
  <w:abstractNum w:abstractNumId="23" w15:restartNumberingAfterBreak="0">
    <w:nsid w:val="531A4F8A"/>
    <w:multiLevelType w:val="hybridMultilevel"/>
    <w:tmpl w:val="5E0ECD32"/>
    <w:lvl w:ilvl="0" w:tplc="7E40EA9A">
      <w:start w:val="1"/>
      <w:numFmt w:val="bullet"/>
      <w:lvlText w:val=""/>
      <w:lvlJc w:val="left"/>
      <w:pPr>
        <w:tabs>
          <w:tab w:val="num" w:pos="709"/>
        </w:tabs>
        <w:ind w:left="0" w:firstLine="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574B242E"/>
    <w:multiLevelType w:val="hybridMultilevel"/>
    <w:tmpl w:val="53D80916"/>
    <w:lvl w:ilvl="0" w:tplc="E82EDB72">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25" w15:restartNumberingAfterBreak="0">
    <w:nsid w:val="57F47060"/>
    <w:multiLevelType w:val="hybridMultilevel"/>
    <w:tmpl w:val="AA0058AC"/>
    <w:lvl w:ilvl="0" w:tplc="7E40EA9A">
      <w:start w:val="1"/>
      <w:numFmt w:val="bullet"/>
      <w:lvlText w:val=""/>
      <w:lvlJc w:val="left"/>
      <w:pPr>
        <w:tabs>
          <w:tab w:val="num" w:pos="709"/>
        </w:tabs>
        <w:ind w:left="0" w:firstLine="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83A7151"/>
    <w:multiLevelType w:val="hybridMultilevel"/>
    <w:tmpl w:val="6D6EA63C"/>
    <w:lvl w:ilvl="0" w:tplc="E70A13FE">
      <w:start w:val="1"/>
      <w:numFmt w:val="bullet"/>
      <w:lvlText w:val=""/>
      <w:lvlJc w:val="left"/>
      <w:pPr>
        <w:tabs>
          <w:tab w:val="num" w:pos="709"/>
        </w:tabs>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586E4AE3"/>
    <w:multiLevelType w:val="hybridMultilevel"/>
    <w:tmpl w:val="465ED0A2"/>
    <w:lvl w:ilvl="0" w:tplc="E82EDB72">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8" w15:restartNumberingAfterBreak="0">
    <w:nsid w:val="5FA92F37"/>
    <w:multiLevelType w:val="hybridMultilevel"/>
    <w:tmpl w:val="45C86260"/>
    <w:lvl w:ilvl="0" w:tplc="88FE1C62">
      <w:start w:val="1"/>
      <w:numFmt w:val="decimal"/>
      <w:lvlText w:val="%1."/>
      <w:lvlJc w:val="left"/>
      <w:pPr>
        <w:tabs>
          <w:tab w:val="num" w:pos="709"/>
        </w:tabs>
        <w:ind w:left="0" w:firstLine="0"/>
      </w:pPr>
      <w:rPr>
        <w:rFonts w:hint="default"/>
        <w:b/>
      </w:rPr>
    </w:lvl>
    <w:lvl w:ilvl="1" w:tplc="04100019" w:tentative="1">
      <w:start w:val="1"/>
      <w:numFmt w:val="lowerLetter"/>
      <w:lvlText w:val="%2."/>
      <w:lvlJc w:val="left"/>
      <w:pPr>
        <w:ind w:left="1667" w:hanging="360"/>
      </w:pPr>
    </w:lvl>
    <w:lvl w:ilvl="2" w:tplc="0410001B" w:tentative="1">
      <w:start w:val="1"/>
      <w:numFmt w:val="lowerRoman"/>
      <w:lvlText w:val="%3."/>
      <w:lvlJc w:val="right"/>
      <w:pPr>
        <w:ind w:left="2387" w:hanging="180"/>
      </w:pPr>
    </w:lvl>
    <w:lvl w:ilvl="3" w:tplc="0410000F" w:tentative="1">
      <w:start w:val="1"/>
      <w:numFmt w:val="decimal"/>
      <w:lvlText w:val="%4."/>
      <w:lvlJc w:val="left"/>
      <w:pPr>
        <w:ind w:left="3107" w:hanging="360"/>
      </w:pPr>
    </w:lvl>
    <w:lvl w:ilvl="4" w:tplc="04100019" w:tentative="1">
      <w:start w:val="1"/>
      <w:numFmt w:val="lowerLetter"/>
      <w:lvlText w:val="%5."/>
      <w:lvlJc w:val="left"/>
      <w:pPr>
        <w:ind w:left="3827" w:hanging="360"/>
      </w:pPr>
    </w:lvl>
    <w:lvl w:ilvl="5" w:tplc="0410001B" w:tentative="1">
      <w:start w:val="1"/>
      <w:numFmt w:val="lowerRoman"/>
      <w:lvlText w:val="%6."/>
      <w:lvlJc w:val="right"/>
      <w:pPr>
        <w:ind w:left="4547" w:hanging="180"/>
      </w:pPr>
    </w:lvl>
    <w:lvl w:ilvl="6" w:tplc="0410000F" w:tentative="1">
      <w:start w:val="1"/>
      <w:numFmt w:val="decimal"/>
      <w:lvlText w:val="%7."/>
      <w:lvlJc w:val="left"/>
      <w:pPr>
        <w:ind w:left="5267" w:hanging="360"/>
      </w:pPr>
    </w:lvl>
    <w:lvl w:ilvl="7" w:tplc="04100019" w:tentative="1">
      <w:start w:val="1"/>
      <w:numFmt w:val="lowerLetter"/>
      <w:lvlText w:val="%8."/>
      <w:lvlJc w:val="left"/>
      <w:pPr>
        <w:ind w:left="5987" w:hanging="360"/>
      </w:pPr>
    </w:lvl>
    <w:lvl w:ilvl="8" w:tplc="0410001B" w:tentative="1">
      <w:start w:val="1"/>
      <w:numFmt w:val="lowerRoman"/>
      <w:lvlText w:val="%9."/>
      <w:lvlJc w:val="right"/>
      <w:pPr>
        <w:ind w:left="6707" w:hanging="180"/>
      </w:pPr>
    </w:lvl>
  </w:abstractNum>
  <w:abstractNum w:abstractNumId="29" w15:restartNumberingAfterBreak="0">
    <w:nsid w:val="5FB9035D"/>
    <w:multiLevelType w:val="hybridMultilevel"/>
    <w:tmpl w:val="77B626D0"/>
    <w:lvl w:ilvl="0" w:tplc="758E5FE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0" w15:restartNumberingAfterBreak="0">
    <w:nsid w:val="66581DBD"/>
    <w:multiLevelType w:val="hybridMultilevel"/>
    <w:tmpl w:val="4644FD6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693F5A33"/>
    <w:multiLevelType w:val="hybridMultilevel"/>
    <w:tmpl w:val="12E06F98"/>
    <w:lvl w:ilvl="0" w:tplc="4FA0256C">
      <w:start w:val="1"/>
      <w:numFmt w:val="decimal"/>
      <w:lvlText w:val="%1."/>
      <w:lvlJc w:val="left"/>
      <w:pPr>
        <w:ind w:left="972" w:hanging="405"/>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2" w15:restartNumberingAfterBreak="0">
    <w:nsid w:val="6CD20274"/>
    <w:multiLevelType w:val="multilevel"/>
    <w:tmpl w:val="7A36FBA4"/>
    <w:lvl w:ilvl="0">
      <w:start w:val="1"/>
      <w:numFmt w:val="bullet"/>
      <w:lvlText w:val="o"/>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6795DEE"/>
    <w:multiLevelType w:val="hybridMultilevel"/>
    <w:tmpl w:val="B1A6B8B6"/>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7781541D"/>
    <w:multiLevelType w:val="hybridMultilevel"/>
    <w:tmpl w:val="4BFA21D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5" w15:restartNumberingAfterBreak="0">
    <w:nsid w:val="7E9F67AC"/>
    <w:multiLevelType w:val="hybridMultilevel"/>
    <w:tmpl w:val="1BF876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14"/>
  </w:num>
  <w:num w:numId="4">
    <w:abstractNumId w:val="10"/>
  </w:num>
  <w:num w:numId="5">
    <w:abstractNumId w:val="11"/>
  </w:num>
  <w:num w:numId="6">
    <w:abstractNumId w:val="8"/>
  </w:num>
  <w:num w:numId="7">
    <w:abstractNumId w:val="33"/>
  </w:num>
  <w:num w:numId="8">
    <w:abstractNumId w:val="22"/>
  </w:num>
  <w:num w:numId="9">
    <w:abstractNumId w:val="13"/>
  </w:num>
  <w:num w:numId="10">
    <w:abstractNumId w:val="16"/>
  </w:num>
  <w:num w:numId="11">
    <w:abstractNumId w:val="32"/>
  </w:num>
  <w:num w:numId="12">
    <w:abstractNumId w:val="31"/>
  </w:num>
  <w:num w:numId="13">
    <w:abstractNumId w:val="4"/>
  </w:num>
  <w:num w:numId="14">
    <w:abstractNumId w:val="28"/>
  </w:num>
  <w:num w:numId="15">
    <w:abstractNumId w:val="26"/>
  </w:num>
  <w:num w:numId="16">
    <w:abstractNumId w:val="34"/>
  </w:num>
  <w:num w:numId="17">
    <w:abstractNumId w:val="23"/>
  </w:num>
  <w:num w:numId="18">
    <w:abstractNumId w:val="25"/>
  </w:num>
  <w:num w:numId="19">
    <w:abstractNumId w:val="18"/>
  </w:num>
  <w:num w:numId="20">
    <w:abstractNumId w:val="2"/>
  </w:num>
  <w:num w:numId="21">
    <w:abstractNumId w:val="15"/>
  </w:num>
  <w:num w:numId="22">
    <w:abstractNumId w:val="29"/>
  </w:num>
  <w:num w:numId="23">
    <w:abstractNumId w:val="21"/>
  </w:num>
  <w:num w:numId="24">
    <w:abstractNumId w:val="19"/>
  </w:num>
  <w:num w:numId="25">
    <w:abstractNumId w:val="30"/>
  </w:num>
  <w:num w:numId="26">
    <w:abstractNumId w:val="0"/>
  </w:num>
  <w:num w:numId="27">
    <w:abstractNumId w:val="1"/>
  </w:num>
  <w:num w:numId="28">
    <w:abstractNumId w:val="27"/>
  </w:num>
  <w:num w:numId="29">
    <w:abstractNumId w:val="6"/>
  </w:num>
  <w:num w:numId="30">
    <w:abstractNumId w:val="24"/>
  </w:num>
  <w:num w:numId="31">
    <w:abstractNumId w:val="35"/>
  </w:num>
  <w:num w:numId="32">
    <w:abstractNumId w:val="5"/>
  </w:num>
  <w:num w:numId="33">
    <w:abstractNumId w:val="7"/>
  </w:num>
  <w:num w:numId="34">
    <w:abstractNumId w:val="12"/>
  </w:num>
  <w:num w:numId="35">
    <w:abstractNumId w:val="1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227"/>
  <w:hyphenationZone w:val="283"/>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80"/>
    <w:rsid w:val="00002D36"/>
    <w:rsid w:val="0000644B"/>
    <w:rsid w:val="0001107F"/>
    <w:rsid w:val="00011E9A"/>
    <w:rsid w:val="0001244F"/>
    <w:rsid w:val="000149B6"/>
    <w:rsid w:val="00014B97"/>
    <w:rsid w:val="00014DE1"/>
    <w:rsid w:val="0001564D"/>
    <w:rsid w:val="00016DDA"/>
    <w:rsid w:val="00017C9F"/>
    <w:rsid w:val="00022730"/>
    <w:rsid w:val="000237DC"/>
    <w:rsid w:val="00027790"/>
    <w:rsid w:val="000304EB"/>
    <w:rsid w:val="0003202A"/>
    <w:rsid w:val="00032981"/>
    <w:rsid w:val="0003388E"/>
    <w:rsid w:val="00034E31"/>
    <w:rsid w:val="00036806"/>
    <w:rsid w:val="00041810"/>
    <w:rsid w:val="00041F8A"/>
    <w:rsid w:val="00043052"/>
    <w:rsid w:val="000435CE"/>
    <w:rsid w:val="000478C6"/>
    <w:rsid w:val="000562F7"/>
    <w:rsid w:val="000563D9"/>
    <w:rsid w:val="00056F0C"/>
    <w:rsid w:val="00057781"/>
    <w:rsid w:val="00057E2C"/>
    <w:rsid w:val="00057F2A"/>
    <w:rsid w:val="00062536"/>
    <w:rsid w:val="000627C6"/>
    <w:rsid w:val="00062E5F"/>
    <w:rsid w:val="0006391E"/>
    <w:rsid w:val="00064C29"/>
    <w:rsid w:val="00067183"/>
    <w:rsid w:val="0007007B"/>
    <w:rsid w:val="000704B1"/>
    <w:rsid w:val="00070E76"/>
    <w:rsid w:val="00072A71"/>
    <w:rsid w:val="00074AAF"/>
    <w:rsid w:val="00075D29"/>
    <w:rsid w:val="000857B1"/>
    <w:rsid w:val="000860B3"/>
    <w:rsid w:val="00087725"/>
    <w:rsid w:val="00087A71"/>
    <w:rsid w:val="000902FD"/>
    <w:rsid w:val="00091025"/>
    <w:rsid w:val="00093D97"/>
    <w:rsid w:val="00093F34"/>
    <w:rsid w:val="00094E8F"/>
    <w:rsid w:val="00097A50"/>
    <w:rsid w:val="000A03C9"/>
    <w:rsid w:val="000A0602"/>
    <w:rsid w:val="000A1684"/>
    <w:rsid w:val="000A2843"/>
    <w:rsid w:val="000A314E"/>
    <w:rsid w:val="000A3BBF"/>
    <w:rsid w:val="000A4816"/>
    <w:rsid w:val="000A4944"/>
    <w:rsid w:val="000A4B9C"/>
    <w:rsid w:val="000A4D54"/>
    <w:rsid w:val="000A5ECE"/>
    <w:rsid w:val="000A6B4E"/>
    <w:rsid w:val="000B0196"/>
    <w:rsid w:val="000B01AE"/>
    <w:rsid w:val="000B079A"/>
    <w:rsid w:val="000B192D"/>
    <w:rsid w:val="000B5C90"/>
    <w:rsid w:val="000B71F1"/>
    <w:rsid w:val="000C0C90"/>
    <w:rsid w:val="000C0CF4"/>
    <w:rsid w:val="000C1057"/>
    <w:rsid w:val="000C1258"/>
    <w:rsid w:val="000C2ECC"/>
    <w:rsid w:val="000C355B"/>
    <w:rsid w:val="000C3B3A"/>
    <w:rsid w:val="000C638A"/>
    <w:rsid w:val="000D1B99"/>
    <w:rsid w:val="000D1DBA"/>
    <w:rsid w:val="000D5013"/>
    <w:rsid w:val="000E034C"/>
    <w:rsid w:val="000E09A6"/>
    <w:rsid w:val="000E11B7"/>
    <w:rsid w:val="000E1E35"/>
    <w:rsid w:val="000E3146"/>
    <w:rsid w:val="000E5B90"/>
    <w:rsid w:val="000E6845"/>
    <w:rsid w:val="000E684F"/>
    <w:rsid w:val="000F1EA9"/>
    <w:rsid w:val="000F3677"/>
    <w:rsid w:val="000F6822"/>
    <w:rsid w:val="000F6E58"/>
    <w:rsid w:val="000F7B9F"/>
    <w:rsid w:val="000F7DCE"/>
    <w:rsid w:val="001025F6"/>
    <w:rsid w:val="00103D6B"/>
    <w:rsid w:val="00104A6F"/>
    <w:rsid w:val="00106827"/>
    <w:rsid w:val="00106C22"/>
    <w:rsid w:val="001133B3"/>
    <w:rsid w:val="00113521"/>
    <w:rsid w:val="00114A19"/>
    <w:rsid w:val="00120069"/>
    <w:rsid w:val="00120431"/>
    <w:rsid w:val="00120BF8"/>
    <w:rsid w:val="00120E3C"/>
    <w:rsid w:val="0012366F"/>
    <w:rsid w:val="00123A63"/>
    <w:rsid w:val="001240F7"/>
    <w:rsid w:val="00130A1D"/>
    <w:rsid w:val="00131310"/>
    <w:rsid w:val="001340FC"/>
    <w:rsid w:val="0013527B"/>
    <w:rsid w:val="00135D32"/>
    <w:rsid w:val="0014168B"/>
    <w:rsid w:val="00142ECF"/>
    <w:rsid w:val="00143E9D"/>
    <w:rsid w:val="00144F6E"/>
    <w:rsid w:val="0014596F"/>
    <w:rsid w:val="00145ED4"/>
    <w:rsid w:val="0014654D"/>
    <w:rsid w:val="00151F42"/>
    <w:rsid w:val="001520C1"/>
    <w:rsid w:val="00155FAB"/>
    <w:rsid w:val="0016291B"/>
    <w:rsid w:val="00163632"/>
    <w:rsid w:val="00163F2D"/>
    <w:rsid w:val="00166AF1"/>
    <w:rsid w:val="00166EF6"/>
    <w:rsid w:val="00170D0D"/>
    <w:rsid w:val="00170DF4"/>
    <w:rsid w:val="00171B65"/>
    <w:rsid w:val="00171B7E"/>
    <w:rsid w:val="00171E70"/>
    <w:rsid w:val="00172433"/>
    <w:rsid w:val="001730B6"/>
    <w:rsid w:val="0017333A"/>
    <w:rsid w:val="00175264"/>
    <w:rsid w:val="00175972"/>
    <w:rsid w:val="00176858"/>
    <w:rsid w:val="00176A4E"/>
    <w:rsid w:val="00177691"/>
    <w:rsid w:val="0018302D"/>
    <w:rsid w:val="00186D69"/>
    <w:rsid w:val="00190203"/>
    <w:rsid w:val="00191B88"/>
    <w:rsid w:val="0019234D"/>
    <w:rsid w:val="0019273B"/>
    <w:rsid w:val="001927B5"/>
    <w:rsid w:val="00192B79"/>
    <w:rsid w:val="00193495"/>
    <w:rsid w:val="00193AA3"/>
    <w:rsid w:val="0019543B"/>
    <w:rsid w:val="00195E55"/>
    <w:rsid w:val="00197C14"/>
    <w:rsid w:val="001A1A7F"/>
    <w:rsid w:val="001A1CE8"/>
    <w:rsid w:val="001A2FE3"/>
    <w:rsid w:val="001A3C5C"/>
    <w:rsid w:val="001A4C6D"/>
    <w:rsid w:val="001A576D"/>
    <w:rsid w:val="001B0D6A"/>
    <w:rsid w:val="001B11FA"/>
    <w:rsid w:val="001B221F"/>
    <w:rsid w:val="001B2D2B"/>
    <w:rsid w:val="001C0618"/>
    <w:rsid w:val="001C0C9C"/>
    <w:rsid w:val="001C16A3"/>
    <w:rsid w:val="001C28BE"/>
    <w:rsid w:val="001C3F41"/>
    <w:rsid w:val="001D117E"/>
    <w:rsid w:val="001D1C85"/>
    <w:rsid w:val="001D4079"/>
    <w:rsid w:val="001D7B0A"/>
    <w:rsid w:val="001E02AA"/>
    <w:rsid w:val="001E2D29"/>
    <w:rsid w:val="001E4CC1"/>
    <w:rsid w:val="001E639F"/>
    <w:rsid w:val="001F13B3"/>
    <w:rsid w:val="001F2BB6"/>
    <w:rsid w:val="001F3BC8"/>
    <w:rsid w:val="001F48B2"/>
    <w:rsid w:val="001F51D3"/>
    <w:rsid w:val="001F55D9"/>
    <w:rsid w:val="001F6164"/>
    <w:rsid w:val="001F6C6B"/>
    <w:rsid w:val="001F7B44"/>
    <w:rsid w:val="00205B62"/>
    <w:rsid w:val="002102BE"/>
    <w:rsid w:val="0021564F"/>
    <w:rsid w:val="00215C19"/>
    <w:rsid w:val="00221120"/>
    <w:rsid w:val="002216AC"/>
    <w:rsid w:val="00222770"/>
    <w:rsid w:val="00222895"/>
    <w:rsid w:val="00222914"/>
    <w:rsid w:val="00226967"/>
    <w:rsid w:val="0023039F"/>
    <w:rsid w:val="0023377D"/>
    <w:rsid w:val="00234F25"/>
    <w:rsid w:val="00237722"/>
    <w:rsid w:val="0024000F"/>
    <w:rsid w:val="00240882"/>
    <w:rsid w:val="00240CDB"/>
    <w:rsid w:val="0024137B"/>
    <w:rsid w:val="00242A99"/>
    <w:rsid w:val="0024534B"/>
    <w:rsid w:val="00245EB0"/>
    <w:rsid w:val="00246319"/>
    <w:rsid w:val="00247CCC"/>
    <w:rsid w:val="00247EE7"/>
    <w:rsid w:val="00251B07"/>
    <w:rsid w:val="00252736"/>
    <w:rsid w:val="00252781"/>
    <w:rsid w:val="00252915"/>
    <w:rsid w:val="00254D8A"/>
    <w:rsid w:val="00263EBF"/>
    <w:rsid w:val="00264FA7"/>
    <w:rsid w:val="00264FD6"/>
    <w:rsid w:val="00265381"/>
    <w:rsid w:val="002659FF"/>
    <w:rsid w:val="00267676"/>
    <w:rsid w:val="0027039E"/>
    <w:rsid w:val="002717D2"/>
    <w:rsid w:val="00274665"/>
    <w:rsid w:val="00276025"/>
    <w:rsid w:val="00276E8A"/>
    <w:rsid w:val="002771CF"/>
    <w:rsid w:val="00277F6A"/>
    <w:rsid w:val="0028608B"/>
    <w:rsid w:val="00286723"/>
    <w:rsid w:val="00286CD3"/>
    <w:rsid w:val="00293914"/>
    <w:rsid w:val="0029451E"/>
    <w:rsid w:val="00294D7A"/>
    <w:rsid w:val="0029643D"/>
    <w:rsid w:val="00297349"/>
    <w:rsid w:val="002A1EED"/>
    <w:rsid w:val="002A21E1"/>
    <w:rsid w:val="002A314E"/>
    <w:rsid w:val="002A560F"/>
    <w:rsid w:val="002A777D"/>
    <w:rsid w:val="002B09E4"/>
    <w:rsid w:val="002B0C27"/>
    <w:rsid w:val="002B30F4"/>
    <w:rsid w:val="002B365E"/>
    <w:rsid w:val="002B5471"/>
    <w:rsid w:val="002B6E69"/>
    <w:rsid w:val="002B6F9E"/>
    <w:rsid w:val="002C0439"/>
    <w:rsid w:val="002C17DD"/>
    <w:rsid w:val="002C1FFB"/>
    <w:rsid w:val="002C3E01"/>
    <w:rsid w:val="002C3E86"/>
    <w:rsid w:val="002C4E08"/>
    <w:rsid w:val="002C6416"/>
    <w:rsid w:val="002D41FA"/>
    <w:rsid w:val="002D62EF"/>
    <w:rsid w:val="002E0414"/>
    <w:rsid w:val="002E1A23"/>
    <w:rsid w:val="002E440F"/>
    <w:rsid w:val="002E5840"/>
    <w:rsid w:val="002E69DC"/>
    <w:rsid w:val="002F0108"/>
    <w:rsid w:val="002F38F2"/>
    <w:rsid w:val="00301036"/>
    <w:rsid w:val="00301B8A"/>
    <w:rsid w:val="003058EE"/>
    <w:rsid w:val="003112F3"/>
    <w:rsid w:val="00311612"/>
    <w:rsid w:val="00311F10"/>
    <w:rsid w:val="00320254"/>
    <w:rsid w:val="0033161F"/>
    <w:rsid w:val="003320A6"/>
    <w:rsid w:val="003325F2"/>
    <w:rsid w:val="0033297B"/>
    <w:rsid w:val="003348CC"/>
    <w:rsid w:val="00334AE7"/>
    <w:rsid w:val="00341F64"/>
    <w:rsid w:val="00343C5F"/>
    <w:rsid w:val="00344164"/>
    <w:rsid w:val="00344835"/>
    <w:rsid w:val="0034798E"/>
    <w:rsid w:val="00352EFA"/>
    <w:rsid w:val="003544CF"/>
    <w:rsid w:val="00354997"/>
    <w:rsid w:val="00354BFA"/>
    <w:rsid w:val="003558B1"/>
    <w:rsid w:val="003613BC"/>
    <w:rsid w:val="00362793"/>
    <w:rsid w:val="00362917"/>
    <w:rsid w:val="003653EE"/>
    <w:rsid w:val="00365FB1"/>
    <w:rsid w:val="0036625C"/>
    <w:rsid w:val="00366CCD"/>
    <w:rsid w:val="00367AE0"/>
    <w:rsid w:val="00371945"/>
    <w:rsid w:val="00372507"/>
    <w:rsid w:val="00372CF7"/>
    <w:rsid w:val="0037454B"/>
    <w:rsid w:val="0037461D"/>
    <w:rsid w:val="00376BB0"/>
    <w:rsid w:val="00376BE2"/>
    <w:rsid w:val="00380FC8"/>
    <w:rsid w:val="00382720"/>
    <w:rsid w:val="003828EF"/>
    <w:rsid w:val="00384FA6"/>
    <w:rsid w:val="0038752B"/>
    <w:rsid w:val="00387BE9"/>
    <w:rsid w:val="003917A1"/>
    <w:rsid w:val="003920DD"/>
    <w:rsid w:val="00393D7B"/>
    <w:rsid w:val="00393F52"/>
    <w:rsid w:val="00394397"/>
    <w:rsid w:val="00394471"/>
    <w:rsid w:val="0039490F"/>
    <w:rsid w:val="003A0E9A"/>
    <w:rsid w:val="003A1708"/>
    <w:rsid w:val="003A4212"/>
    <w:rsid w:val="003A4565"/>
    <w:rsid w:val="003A4D91"/>
    <w:rsid w:val="003A4DD3"/>
    <w:rsid w:val="003B66B3"/>
    <w:rsid w:val="003B6F61"/>
    <w:rsid w:val="003C1980"/>
    <w:rsid w:val="003C2453"/>
    <w:rsid w:val="003C2583"/>
    <w:rsid w:val="003C6D20"/>
    <w:rsid w:val="003D086F"/>
    <w:rsid w:val="003D17F9"/>
    <w:rsid w:val="003D26AB"/>
    <w:rsid w:val="003D27A3"/>
    <w:rsid w:val="003D2FF7"/>
    <w:rsid w:val="003D410C"/>
    <w:rsid w:val="003D6982"/>
    <w:rsid w:val="003D7EF9"/>
    <w:rsid w:val="003E094F"/>
    <w:rsid w:val="003E277F"/>
    <w:rsid w:val="003E2A85"/>
    <w:rsid w:val="003E46C1"/>
    <w:rsid w:val="003E4F41"/>
    <w:rsid w:val="003E5060"/>
    <w:rsid w:val="003E5DE4"/>
    <w:rsid w:val="003E71D4"/>
    <w:rsid w:val="003E775A"/>
    <w:rsid w:val="003F0B2C"/>
    <w:rsid w:val="003F243C"/>
    <w:rsid w:val="003F677B"/>
    <w:rsid w:val="003F6976"/>
    <w:rsid w:val="003F76A6"/>
    <w:rsid w:val="003F7D25"/>
    <w:rsid w:val="00404029"/>
    <w:rsid w:val="004074EC"/>
    <w:rsid w:val="004075F1"/>
    <w:rsid w:val="00410ED1"/>
    <w:rsid w:val="004139D4"/>
    <w:rsid w:val="0041561B"/>
    <w:rsid w:val="0041725E"/>
    <w:rsid w:val="004213BC"/>
    <w:rsid w:val="004302E9"/>
    <w:rsid w:val="00430CA7"/>
    <w:rsid w:val="00431834"/>
    <w:rsid w:val="00432E9E"/>
    <w:rsid w:val="00433277"/>
    <w:rsid w:val="004346EE"/>
    <w:rsid w:val="00435994"/>
    <w:rsid w:val="00440BAE"/>
    <w:rsid w:val="00445174"/>
    <w:rsid w:val="0044665B"/>
    <w:rsid w:val="00450BAA"/>
    <w:rsid w:val="004518E0"/>
    <w:rsid w:val="00452472"/>
    <w:rsid w:val="00453194"/>
    <w:rsid w:val="00457253"/>
    <w:rsid w:val="00462906"/>
    <w:rsid w:val="00464015"/>
    <w:rsid w:val="00464E48"/>
    <w:rsid w:val="0046626B"/>
    <w:rsid w:val="0047029E"/>
    <w:rsid w:val="00476655"/>
    <w:rsid w:val="004817D2"/>
    <w:rsid w:val="0048250A"/>
    <w:rsid w:val="00483DA3"/>
    <w:rsid w:val="0048406E"/>
    <w:rsid w:val="004857BD"/>
    <w:rsid w:val="00487391"/>
    <w:rsid w:val="00487CE7"/>
    <w:rsid w:val="00492959"/>
    <w:rsid w:val="00492CAF"/>
    <w:rsid w:val="004941E2"/>
    <w:rsid w:val="00494CAB"/>
    <w:rsid w:val="00495086"/>
    <w:rsid w:val="004962BF"/>
    <w:rsid w:val="004962CA"/>
    <w:rsid w:val="0049785D"/>
    <w:rsid w:val="00497A02"/>
    <w:rsid w:val="004A3DD3"/>
    <w:rsid w:val="004A6BB4"/>
    <w:rsid w:val="004B5A6B"/>
    <w:rsid w:val="004B6E09"/>
    <w:rsid w:val="004B7189"/>
    <w:rsid w:val="004B7FDF"/>
    <w:rsid w:val="004D10A0"/>
    <w:rsid w:val="004D1210"/>
    <w:rsid w:val="004D1A95"/>
    <w:rsid w:val="004D2D0B"/>
    <w:rsid w:val="004D2D89"/>
    <w:rsid w:val="004D72E3"/>
    <w:rsid w:val="004D7C9F"/>
    <w:rsid w:val="004E0BB0"/>
    <w:rsid w:val="004E361D"/>
    <w:rsid w:val="004F3088"/>
    <w:rsid w:val="004F314F"/>
    <w:rsid w:val="004F427E"/>
    <w:rsid w:val="004F7AC4"/>
    <w:rsid w:val="004F7FEA"/>
    <w:rsid w:val="005008BE"/>
    <w:rsid w:val="005026CC"/>
    <w:rsid w:val="00502E44"/>
    <w:rsid w:val="0050349F"/>
    <w:rsid w:val="00507672"/>
    <w:rsid w:val="00507758"/>
    <w:rsid w:val="005104D9"/>
    <w:rsid w:val="00510A95"/>
    <w:rsid w:val="00510E70"/>
    <w:rsid w:val="005131B5"/>
    <w:rsid w:val="005134E0"/>
    <w:rsid w:val="00514732"/>
    <w:rsid w:val="00517DDB"/>
    <w:rsid w:val="0052060F"/>
    <w:rsid w:val="00520F7B"/>
    <w:rsid w:val="00526CC5"/>
    <w:rsid w:val="00527D9C"/>
    <w:rsid w:val="0053032D"/>
    <w:rsid w:val="0053262D"/>
    <w:rsid w:val="00532D99"/>
    <w:rsid w:val="005361B0"/>
    <w:rsid w:val="00537CC7"/>
    <w:rsid w:val="0054025A"/>
    <w:rsid w:val="00540A2F"/>
    <w:rsid w:val="00540B1C"/>
    <w:rsid w:val="0054274F"/>
    <w:rsid w:val="005429AD"/>
    <w:rsid w:val="005432C5"/>
    <w:rsid w:val="00543E26"/>
    <w:rsid w:val="00545B99"/>
    <w:rsid w:val="00553ACD"/>
    <w:rsid w:val="0055688A"/>
    <w:rsid w:val="00561691"/>
    <w:rsid w:val="00562692"/>
    <w:rsid w:val="00564B8D"/>
    <w:rsid w:val="0057199D"/>
    <w:rsid w:val="00571FF1"/>
    <w:rsid w:val="00572200"/>
    <w:rsid w:val="005741FB"/>
    <w:rsid w:val="005752E7"/>
    <w:rsid w:val="005830F6"/>
    <w:rsid w:val="00583582"/>
    <w:rsid w:val="005841E8"/>
    <w:rsid w:val="00585AC7"/>
    <w:rsid w:val="00586022"/>
    <w:rsid w:val="00590368"/>
    <w:rsid w:val="00591ED9"/>
    <w:rsid w:val="0059291F"/>
    <w:rsid w:val="00593886"/>
    <w:rsid w:val="00593FFA"/>
    <w:rsid w:val="005963A2"/>
    <w:rsid w:val="005A0E85"/>
    <w:rsid w:val="005A184D"/>
    <w:rsid w:val="005A583E"/>
    <w:rsid w:val="005A5C52"/>
    <w:rsid w:val="005A7381"/>
    <w:rsid w:val="005B42DE"/>
    <w:rsid w:val="005B5BDD"/>
    <w:rsid w:val="005B62A9"/>
    <w:rsid w:val="005B6538"/>
    <w:rsid w:val="005C272C"/>
    <w:rsid w:val="005C2C39"/>
    <w:rsid w:val="005C3D38"/>
    <w:rsid w:val="005C58E0"/>
    <w:rsid w:val="005D0B2F"/>
    <w:rsid w:val="005D5CF9"/>
    <w:rsid w:val="005D604F"/>
    <w:rsid w:val="005E11E9"/>
    <w:rsid w:val="005E3404"/>
    <w:rsid w:val="005E3579"/>
    <w:rsid w:val="005E39D9"/>
    <w:rsid w:val="005E6BEB"/>
    <w:rsid w:val="005E786D"/>
    <w:rsid w:val="005F28DC"/>
    <w:rsid w:val="005F3B9F"/>
    <w:rsid w:val="005F3C71"/>
    <w:rsid w:val="005F3E2F"/>
    <w:rsid w:val="005F6B6E"/>
    <w:rsid w:val="00602F97"/>
    <w:rsid w:val="006049EA"/>
    <w:rsid w:val="0060520B"/>
    <w:rsid w:val="00605239"/>
    <w:rsid w:val="0060653E"/>
    <w:rsid w:val="00606AC2"/>
    <w:rsid w:val="006076F0"/>
    <w:rsid w:val="00610486"/>
    <w:rsid w:val="0061300E"/>
    <w:rsid w:val="006132C2"/>
    <w:rsid w:val="00616E9B"/>
    <w:rsid w:val="0061799E"/>
    <w:rsid w:val="00621157"/>
    <w:rsid w:val="00622B85"/>
    <w:rsid w:val="00622E09"/>
    <w:rsid w:val="00623969"/>
    <w:rsid w:val="00624A38"/>
    <w:rsid w:val="00625487"/>
    <w:rsid w:val="00626757"/>
    <w:rsid w:val="00627C1F"/>
    <w:rsid w:val="006311E0"/>
    <w:rsid w:val="006318AA"/>
    <w:rsid w:val="0063343F"/>
    <w:rsid w:val="006378F0"/>
    <w:rsid w:val="00641054"/>
    <w:rsid w:val="006437EC"/>
    <w:rsid w:val="006438F6"/>
    <w:rsid w:val="006455BD"/>
    <w:rsid w:val="00645BD0"/>
    <w:rsid w:val="00647136"/>
    <w:rsid w:val="00647FF6"/>
    <w:rsid w:val="006537B5"/>
    <w:rsid w:val="00653A36"/>
    <w:rsid w:val="006547C0"/>
    <w:rsid w:val="006553A6"/>
    <w:rsid w:val="00655742"/>
    <w:rsid w:val="00655AB3"/>
    <w:rsid w:val="00655EA0"/>
    <w:rsid w:val="006564E7"/>
    <w:rsid w:val="00656B7F"/>
    <w:rsid w:val="00657BB5"/>
    <w:rsid w:val="006632AB"/>
    <w:rsid w:val="00663345"/>
    <w:rsid w:val="00666C07"/>
    <w:rsid w:val="00670784"/>
    <w:rsid w:val="006724A1"/>
    <w:rsid w:val="006734DF"/>
    <w:rsid w:val="0067421B"/>
    <w:rsid w:val="006814A4"/>
    <w:rsid w:val="00683769"/>
    <w:rsid w:val="00683C62"/>
    <w:rsid w:val="00684DD8"/>
    <w:rsid w:val="00684EFB"/>
    <w:rsid w:val="006860CF"/>
    <w:rsid w:val="00686EDD"/>
    <w:rsid w:val="00687FB4"/>
    <w:rsid w:val="00690A7C"/>
    <w:rsid w:val="0069409B"/>
    <w:rsid w:val="00694ED5"/>
    <w:rsid w:val="00695B21"/>
    <w:rsid w:val="00696F23"/>
    <w:rsid w:val="006A1F23"/>
    <w:rsid w:val="006A2308"/>
    <w:rsid w:val="006A291C"/>
    <w:rsid w:val="006B4F08"/>
    <w:rsid w:val="006B5A04"/>
    <w:rsid w:val="006B738C"/>
    <w:rsid w:val="006C03DA"/>
    <w:rsid w:val="006C1F1A"/>
    <w:rsid w:val="006C2B08"/>
    <w:rsid w:val="006C38A1"/>
    <w:rsid w:val="006C4FC3"/>
    <w:rsid w:val="006D0917"/>
    <w:rsid w:val="006D12F8"/>
    <w:rsid w:val="006D1598"/>
    <w:rsid w:val="006D1A6E"/>
    <w:rsid w:val="006D67C3"/>
    <w:rsid w:val="006D6959"/>
    <w:rsid w:val="006E08B2"/>
    <w:rsid w:val="006E253C"/>
    <w:rsid w:val="006E32D8"/>
    <w:rsid w:val="006E3AB4"/>
    <w:rsid w:val="006F100A"/>
    <w:rsid w:val="006F42F5"/>
    <w:rsid w:val="006F526C"/>
    <w:rsid w:val="006F5274"/>
    <w:rsid w:val="006F5D2F"/>
    <w:rsid w:val="007023BE"/>
    <w:rsid w:val="00703F01"/>
    <w:rsid w:val="0070469A"/>
    <w:rsid w:val="007052A1"/>
    <w:rsid w:val="00706328"/>
    <w:rsid w:val="007074EF"/>
    <w:rsid w:val="0070785B"/>
    <w:rsid w:val="00710735"/>
    <w:rsid w:val="007111B0"/>
    <w:rsid w:val="00711CC0"/>
    <w:rsid w:val="00711EDA"/>
    <w:rsid w:val="0071460A"/>
    <w:rsid w:val="007152C9"/>
    <w:rsid w:val="00715B5B"/>
    <w:rsid w:val="00716902"/>
    <w:rsid w:val="00716C08"/>
    <w:rsid w:val="00717485"/>
    <w:rsid w:val="007268D8"/>
    <w:rsid w:val="00730517"/>
    <w:rsid w:val="007311A7"/>
    <w:rsid w:val="0073139F"/>
    <w:rsid w:val="00731750"/>
    <w:rsid w:val="0073184C"/>
    <w:rsid w:val="00732CE2"/>
    <w:rsid w:val="0073599F"/>
    <w:rsid w:val="00736073"/>
    <w:rsid w:val="0073686B"/>
    <w:rsid w:val="007379F8"/>
    <w:rsid w:val="00740625"/>
    <w:rsid w:val="00741399"/>
    <w:rsid w:val="00743485"/>
    <w:rsid w:val="007435E9"/>
    <w:rsid w:val="0074590C"/>
    <w:rsid w:val="00747873"/>
    <w:rsid w:val="00750DA1"/>
    <w:rsid w:val="007541E9"/>
    <w:rsid w:val="0075596F"/>
    <w:rsid w:val="007576C3"/>
    <w:rsid w:val="0076064D"/>
    <w:rsid w:val="007623BF"/>
    <w:rsid w:val="00763171"/>
    <w:rsid w:val="007656BD"/>
    <w:rsid w:val="007706F7"/>
    <w:rsid w:val="00771D47"/>
    <w:rsid w:val="007726AE"/>
    <w:rsid w:val="00772E31"/>
    <w:rsid w:val="00775816"/>
    <w:rsid w:val="00775D7D"/>
    <w:rsid w:val="00777159"/>
    <w:rsid w:val="00777A5C"/>
    <w:rsid w:val="00777CF7"/>
    <w:rsid w:val="00781D9E"/>
    <w:rsid w:val="00781F0B"/>
    <w:rsid w:val="00784520"/>
    <w:rsid w:val="0078519A"/>
    <w:rsid w:val="00785B61"/>
    <w:rsid w:val="00785BCA"/>
    <w:rsid w:val="00787E3E"/>
    <w:rsid w:val="00791673"/>
    <w:rsid w:val="007979AD"/>
    <w:rsid w:val="007A03DC"/>
    <w:rsid w:val="007A2DDA"/>
    <w:rsid w:val="007A485C"/>
    <w:rsid w:val="007A6B42"/>
    <w:rsid w:val="007A716B"/>
    <w:rsid w:val="007A7864"/>
    <w:rsid w:val="007B156C"/>
    <w:rsid w:val="007B2765"/>
    <w:rsid w:val="007B3AE2"/>
    <w:rsid w:val="007B462D"/>
    <w:rsid w:val="007B500B"/>
    <w:rsid w:val="007B53EA"/>
    <w:rsid w:val="007B6FAB"/>
    <w:rsid w:val="007B72D4"/>
    <w:rsid w:val="007C0D4A"/>
    <w:rsid w:val="007C2779"/>
    <w:rsid w:val="007C70A5"/>
    <w:rsid w:val="007D0DF7"/>
    <w:rsid w:val="007D18AF"/>
    <w:rsid w:val="007D3E49"/>
    <w:rsid w:val="007D79D6"/>
    <w:rsid w:val="007E00A5"/>
    <w:rsid w:val="007E11F1"/>
    <w:rsid w:val="007E1243"/>
    <w:rsid w:val="007E1CC0"/>
    <w:rsid w:val="007E398A"/>
    <w:rsid w:val="007E3B4A"/>
    <w:rsid w:val="007E4A97"/>
    <w:rsid w:val="007E53EF"/>
    <w:rsid w:val="007E5572"/>
    <w:rsid w:val="007E6A37"/>
    <w:rsid w:val="007F1B4C"/>
    <w:rsid w:val="007F3478"/>
    <w:rsid w:val="007F6F54"/>
    <w:rsid w:val="0080239A"/>
    <w:rsid w:val="0080446C"/>
    <w:rsid w:val="00811AE0"/>
    <w:rsid w:val="00817FB3"/>
    <w:rsid w:val="008203CB"/>
    <w:rsid w:val="00822987"/>
    <w:rsid w:val="00822EAD"/>
    <w:rsid w:val="008246C6"/>
    <w:rsid w:val="00826224"/>
    <w:rsid w:val="008274A1"/>
    <w:rsid w:val="00827815"/>
    <w:rsid w:val="00832C34"/>
    <w:rsid w:val="008401AB"/>
    <w:rsid w:val="008438A4"/>
    <w:rsid w:val="00843A11"/>
    <w:rsid w:val="00844383"/>
    <w:rsid w:val="008444C9"/>
    <w:rsid w:val="00845CFB"/>
    <w:rsid w:val="00845E27"/>
    <w:rsid w:val="008500CE"/>
    <w:rsid w:val="00852088"/>
    <w:rsid w:val="00854B84"/>
    <w:rsid w:val="008570AA"/>
    <w:rsid w:val="008572B5"/>
    <w:rsid w:val="00860C96"/>
    <w:rsid w:val="0086177A"/>
    <w:rsid w:val="00861A4D"/>
    <w:rsid w:val="00861F25"/>
    <w:rsid w:val="00862FF2"/>
    <w:rsid w:val="00866089"/>
    <w:rsid w:val="00867038"/>
    <w:rsid w:val="00870765"/>
    <w:rsid w:val="00871805"/>
    <w:rsid w:val="00871FEA"/>
    <w:rsid w:val="0087451E"/>
    <w:rsid w:val="00874703"/>
    <w:rsid w:val="00875B7B"/>
    <w:rsid w:val="00875C93"/>
    <w:rsid w:val="00875CE0"/>
    <w:rsid w:val="008763F5"/>
    <w:rsid w:val="008802AD"/>
    <w:rsid w:val="00881862"/>
    <w:rsid w:val="00882061"/>
    <w:rsid w:val="00882569"/>
    <w:rsid w:val="00882FBC"/>
    <w:rsid w:val="00884D65"/>
    <w:rsid w:val="0089151E"/>
    <w:rsid w:val="00891AFF"/>
    <w:rsid w:val="008927C8"/>
    <w:rsid w:val="00893B17"/>
    <w:rsid w:val="00894CD6"/>
    <w:rsid w:val="00894EA6"/>
    <w:rsid w:val="00895ED3"/>
    <w:rsid w:val="008A0679"/>
    <w:rsid w:val="008A2AAC"/>
    <w:rsid w:val="008A2FE7"/>
    <w:rsid w:val="008A370D"/>
    <w:rsid w:val="008A44E6"/>
    <w:rsid w:val="008A4822"/>
    <w:rsid w:val="008A6964"/>
    <w:rsid w:val="008A6F57"/>
    <w:rsid w:val="008A70DA"/>
    <w:rsid w:val="008B085A"/>
    <w:rsid w:val="008B08D5"/>
    <w:rsid w:val="008B3FC4"/>
    <w:rsid w:val="008B7D29"/>
    <w:rsid w:val="008B7E76"/>
    <w:rsid w:val="008C21E5"/>
    <w:rsid w:val="008C5C66"/>
    <w:rsid w:val="008C71B5"/>
    <w:rsid w:val="008C79C0"/>
    <w:rsid w:val="008C7DBB"/>
    <w:rsid w:val="008D0CE1"/>
    <w:rsid w:val="008D3273"/>
    <w:rsid w:val="008D4FB7"/>
    <w:rsid w:val="008D5937"/>
    <w:rsid w:val="008E0DEF"/>
    <w:rsid w:val="008E1DB4"/>
    <w:rsid w:val="008E1FC6"/>
    <w:rsid w:val="008E2523"/>
    <w:rsid w:val="008F15A7"/>
    <w:rsid w:val="008F206D"/>
    <w:rsid w:val="008F524A"/>
    <w:rsid w:val="00901684"/>
    <w:rsid w:val="00901BFA"/>
    <w:rsid w:val="00906BF3"/>
    <w:rsid w:val="0090700F"/>
    <w:rsid w:val="00911C59"/>
    <w:rsid w:val="00912227"/>
    <w:rsid w:val="00914763"/>
    <w:rsid w:val="00916CCA"/>
    <w:rsid w:val="00917D3A"/>
    <w:rsid w:val="00917DDD"/>
    <w:rsid w:val="0092039F"/>
    <w:rsid w:val="0092136D"/>
    <w:rsid w:val="009214DA"/>
    <w:rsid w:val="00921886"/>
    <w:rsid w:val="0092254B"/>
    <w:rsid w:val="00927854"/>
    <w:rsid w:val="00930B4B"/>
    <w:rsid w:val="009327FA"/>
    <w:rsid w:val="00933A8A"/>
    <w:rsid w:val="00933D8C"/>
    <w:rsid w:val="009366E9"/>
    <w:rsid w:val="00937CAE"/>
    <w:rsid w:val="00943A72"/>
    <w:rsid w:val="00943AF2"/>
    <w:rsid w:val="00943AF3"/>
    <w:rsid w:val="00943DD6"/>
    <w:rsid w:val="009471E2"/>
    <w:rsid w:val="00947269"/>
    <w:rsid w:val="00947A7D"/>
    <w:rsid w:val="00950326"/>
    <w:rsid w:val="00950FCD"/>
    <w:rsid w:val="0095185A"/>
    <w:rsid w:val="009518CE"/>
    <w:rsid w:val="00951DBD"/>
    <w:rsid w:val="00954462"/>
    <w:rsid w:val="0095716C"/>
    <w:rsid w:val="009608D5"/>
    <w:rsid w:val="009609F2"/>
    <w:rsid w:val="00961B62"/>
    <w:rsid w:val="00961F20"/>
    <w:rsid w:val="00963ACA"/>
    <w:rsid w:val="009678FD"/>
    <w:rsid w:val="009707A2"/>
    <w:rsid w:val="00970D48"/>
    <w:rsid w:val="0097149A"/>
    <w:rsid w:val="00973F17"/>
    <w:rsid w:val="0097412E"/>
    <w:rsid w:val="00974839"/>
    <w:rsid w:val="0098066E"/>
    <w:rsid w:val="00983230"/>
    <w:rsid w:val="009841FA"/>
    <w:rsid w:val="00986A52"/>
    <w:rsid w:val="00987D22"/>
    <w:rsid w:val="00987ED2"/>
    <w:rsid w:val="0099280A"/>
    <w:rsid w:val="00992873"/>
    <w:rsid w:val="00992964"/>
    <w:rsid w:val="009937BF"/>
    <w:rsid w:val="009953D4"/>
    <w:rsid w:val="009A1EED"/>
    <w:rsid w:val="009A2694"/>
    <w:rsid w:val="009A2A01"/>
    <w:rsid w:val="009A454F"/>
    <w:rsid w:val="009B1F51"/>
    <w:rsid w:val="009B3032"/>
    <w:rsid w:val="009B33D1"/>
    <w:rsid w:val="009B6004"/>
    <w:rsid w:val="009B6EDB"/>
    <w:rsid w:val="009B7C88"/>
    <w:rsid w:val="009C0ED5"/>
    <w:rsid w:val="009C3039"/>
    <w:rsid w:val="009C31B8"/>
    <w:rsid w:val="009C34B8"/>
    <w:rsid w:val="009C5D5C"/>
    <w:rsid w:val="009C755D"/>
    <w:rsid w:val="009D1860"/>
    <w:rsid w:val="009D292F"/>
    <w:rsid w:val="009D3689"/>
    <w:rsid w:val="009D420C"/>
    <w:rsid w:val="009D64FA"/>
    <w:rsid w:val="009D6E90"/>
    <w:rsid w:val="009E0D61"/>
    <w:rsid w:val="009E101B"/>
    <w:rsid w:val="009E3257"/>
    <w:rsid w:val="009E3419"/>
    <w:rsid w:val="009E39B0"/>
    <w:rsid w:val="009E3ECD"/>
    <w:rsid w:val="009E65AE"/>
    <w:rsid w:val="009F38AC"/>
    <w:rsid w:val="009F3D8A"/>
    <w:rsid w:val="009F4885"/>
    <w:rsid w:val="009F6E0A"/>
    <w:rsid w:val="009F78C6"/>
    <w:rsid w:val="009F7A36"/>
    <w:rsid w:val="00A016E2"/>
    <w:rsid w:val="00A0278A"/>
    <w:rsid w:val="00A03092"/>
    <w:rsid w:val="00A030AD"/>
    <w:rsid w:val="00A036F0"/>
    <w:rsid w:val="00A05D9E"/>
    <w:rsid w:val="00A06380"/>
    <w:rsid w:val="00A067E5"/>
    <w:rsid w:val="00A105F4"/>
    <w:rsid w:val="00A10B34"/>
    <w:rsid w:val="00A10BED"/>
    <w:rsid w:val="00A114DA"/>
    <w:rsid w:val="00A12FAE"/>
    <w:rsid w:val="00A14626"/>
    <w:rsid w:val="00A14C2D"/>
    <w:rsid w:val="00A156D3"/>
    <w:rsid w:val="00A16CB0"/>
    <w:rsid w:val="00A1716F"/>
    <w:rsid w:val="00A17257"/>
    <w:rsid w:val="00A17605"/>
    <w:rsid w:val="00A224FD"/>
    <w:rsid w:val="00A23A0E"/>
    <w:rsid w:val="00A24025"/>
    <w:rsid w:val="00A24683"/>
    <w:rsid w:val="00A24D44"/>
    <w:rsid w:val="00A3033E"/>
    <w:rsid w:val="00A303B2"/>
    <w:rsid w:val="00A30ABD"/>
    <w:rsid w:val="00A30C9F"/>
    <w:rsid w:val="00A3227D"/>
    <w:rsid w:val="00A33825"/>
    <w:rsid w:val="00A33F84"/>
    <w:rsid w:val="00A359C9"/>
    <w:rsid w:val="00A415CD"/>
    <w:rsid w:val="00A41BFD"/>
    <w:rsid w:val="00A42154"/>
    <w:rsid w:val="00A424E5"/>
    <w:rsid w:val="00A4310C"/>
    <w:rsid w:val="00A43D9D"/>
    <w:rsid w:val="00A44CEE"/>
    <w:rsid w:val="00A50359"/>
    <w:rsid w:val="00A507CE"/>
    <w:rsid w:val="00A51D09"/>
    <w:rsid w:val="00A547D1"/>
    <w:rsid w:val="00A55A8A"/>
    <w:rsid w:val="00A56E8D"/>
    <w:rsid w:val="00A602FA"/>
    <w:rsid w:val="00A604C5"/>
    <w:rsid w:val="00A60813"/>
    <w:rsid w:val="00A645DF"/>
    <w:rsid w:val="00A7013C"/>
    <w:rsid w:val="00A71C3D"/>
    <w:rsid w:val="00A72B09"/>
    <w:rsid w:val="00A73B32"/>
    <w:rsid w:val="00A744E8"/>
    <w:rsid w:val="00A74F4B"/>
    <w:rsid w:val="00A77EDD"/>
    <w:rsid w:val="00A872F2"/>
    <w:rsid w:val="00A87DB9"/>
    <w:rsid w:val="00A937F9"/>
    <w:rsid w:val="00A94ABF"/>
    <w:rsid w:val="00A974BF"/>
    <w:rsid w:val="00AA09B2"/>
    <w:rsid w:val="00AA0B88"/>
    <w:rsid w:val="00AA2BE8"/>
    <w:rsid w:val="00AA4BF0"/>
    <w:rsid w:val="00AA746A"/>
    <w:rsid w:val="00AA7793"/>
    <w:rsid w:val="00AB09A6"/>
    <w:rsid w:val="00AB0BB6"/>
    <w:rsid w:val="00AB4AD8"/>
    <w:rsid w:val="00AB5B09"/>
    <w:rsid w:val="00AB6B13"/>
    <w:rsid w:val="00AC10C2"/>
    <w:rsid w:val="00AC247A"/>
    <w:rsid w:val="00AC45F3"/>
    <w:rsid w:val="00AC5FB8"/>
    <w:rsid w:val="00AC6390"/>
    <w:rsid w:val="00AC7B3C"/>
    <w:rsid w:val="00AD0344"/>
    <w:rsid w:val="00AD456A"/>
    <w:rsid w:val="00AD5453"/>
    <w:rsid w:val="00AD7B50"/>
    <w:rsid w:val="00AE13EC"/>
    <w:rsid w:val="00AF1C3D"/>
    <w:rsid w:val="00AF4DD5"/>
    <w:rsid w:val="00AF5AA1"/>
    <w:rsid w:val="00AF5D2F"/>
    <w:rsid w:val="00AF7149"/>
    <w:rsid w:val="00B01DCB"/>
    <w:rsid w:val="00B01F55"/>
    <w:rsid w:val="00B039E0"/>
    <w:rsid w:val="00B11B2E"/>
    <w:rsid w:val="00B13085"/>
    <w:rsid w:val="00B17B8E"/>
    <w:rsid w:val="00B20F83"/>
    <w:rsid w:val="00B23E97"/>
    <w:rsid w:val="00B26B35"/>
    <w:rsid w:val="00B309CD"/>
    <w:rsid w:val="00B3149B"/>
    <w:rsid w:val="00B32A62"/>
    <w:rsid w:val="00B34911"/>
    <w:rsid w:val="00B34A47"/>
    <w:rsid w:val="00B35677"/>
    <w:rsid w:val="00B35B22"/>
    <w:rsid w:val="00B41A27"/>
    <w:rsid w:val="00B42BE2"/>
    <w:rsid w:val="00B438DE"/>
    <w:rsid w:val="00B44897"/>
    <w:rsid w:val="00B478C1"/>
    <w:rsid w:val="00B50FB4"/>
    <w:rsid w:val="00B52569"/>
    <w:rsid w:val="00B54BF7"/>
    <w:rsid w:val="00B54D9E"/>
    <w:rsid w:val="00B56E36"/>
    <w:rsid w:val="00B57755"/>
    <w:rsid w:val="00B62B79"/>
    <w:rsid w:val="00B663DF"/>
    <w:rsid w:val="00B716D6"/>
    <w:rsid w:val="00B74252"/>
    <w:rsid w:val="00B826D5"/>
    <w:rsid w:val="00B8371D"/>
    <w:rsid w:val="00B85934"/>
    <w:rsid w:val="00B85D35"/>
    <w:rsid w:val="00B866B1"/>
    <w:rsid w:val="00B870D2"/>
    <w:rsid w:val="00B87FE7"/>
    <w:rsid w:val="00B9109D"/>
    <w:rsid w:val="00B915E4"/>
    <w:rsid w:val="00B91E5F"/>
    <w:rsid w:val="00B91F3F"/>
    <w:rsid w:val="00B96DDC"/>
    <w:rsid w:val="00B978A6"/>
    <w:rsid w:val="00BA0018"/>
    <w:rsid w:val="00BA5030"/>
    <w:rsid w:val="00BA5DB9"/>
    <w:rsid w:val="00BA6A62"/>
    <w:rsid w:val="00BA76EB"/>
    <w:rsid w:val="00BA79CE"/>
    <w:rsid w:val="00BB07B1"/>
    <w:rsid w:val="00BB0F5C"/>
    <w:rsid w:val="00BB0FED"/>
    <w:rsid w:val="00BB149F"/>
    <w:rsid w:val="00BB356F"/>
    <w:rsid w:val="00BB41D0"/>
    <w:rsid w:val="00BC20D0"/>
    <w:rsid w:val="00BC2971"/>
    <w:rsid w:val="00BC477D"/>
    <w:rsid w:val="00BC502B"/>
    <w:rsid w:val="00BC6626"/>
    <w:rsid w:val="00BC6D23"/>
    <w:rsid w:val="00BD01F9"/>
    <w:rsid w:val="00BD4235"/>
    <w:rsid w:val="00BD4CA2"/>
    <w:rsid w:val="00BD7AE6"/>
    <w:rsid w:val="00BE155C"/>
    <w:rsid w:val="00BE18E2"/>
    <w:rsid w:val="00BE46F3"/>
    <w:rsid w:val="00BE4D96"/>
    <w:rsid w:val="00BE50A2"/>
    <w:rsid w:val="00BE729D"/>
    <w:rsid w:val="00BF0B19"/>
    <w:rsid w:val="00BF1D4E"/>
    <w:rsid w:val="00BF3F58"/>
    <w:rsid w:val="00BF69F2"/>
    <w:rsid w:val="00BF6BF1"/>
    <w:rsid w:val="00BF70B6"/>
    <w:rsid w:val="00C02286"/>
    <w:rsid w:val="00C02840"/>
    <w:rsid w:val="00C0355D"/>
    <w:rsid w:val="00C03AAA"/>
    <w:rsid w:val="00C041C0"/>
    <w:rsid w:val="00C062BF"/>
    <w:rsid w:val="00C11E14"/>
    <w:rsid w:val="00C124DC"/>
    <w:rsid w:val="00C13E9E"/>
    <w:rsid w:val="00C234B2"/>
    <w:rsid w:val="00C27ED5"/>
    <w:rsid w:val="00C31CB8"/>
    <w:rsid w:val="00C31D98"/>
    <w:rsid w:val="00C33E33"/>
    <w:rsid w:val="00C34D93"/>
    <w:rsid w:val="00C3718A"/>
    <w:rsid w:val="00C41693"/>
    <w:rsid w:val="00C41D8C"/>
    <w:rsid w:val="00C42018"/>
    <w:rsid w:val="00C422C4"/>
    <w:rsid w:val="00C44957"/>
    <w:rsid w:val="00C44BA8"/>
    <w:rsid w:val="00C45254"/>
    <w:rsid w:val="00C46D74"/>
    <w:rsid w:val="00C50A9D"/>
    <w:rsid w:val="00C52B53"/>
    <w:rsid w:val="00C540FF"/>
    <w:rsid w:val="00C55B5F"/>
    <w:rsid w:val="00C57295"/>
    <w:rsid w:val="00C61748"/>
    <w:rsid w:val="00C62CF5"/>
    <w:rsid w:val="00C638E6"/>
    <w:rsid w:val="00C64501"/>
    <w:rsid w:val="00C6549B"/>
    <w:rsid w:val="00C66B03"/>
    <w:rsid w:val="00C66B14"/>
    <w:rsid w:val="00C675A6"/>
    <w:rsid w:val="00C701D4"/>
    <w:rsid w:val="00C71636"/>
    <w:rsid w:val="00C71C03"/>
    <w:rsid w:val="00C71D78"/>
    <w:rsid w:val="00C727F1"/>
    <w:rsid w:val="00C72908"/>
    <w:rsid w:val="00C81790"/>
    <w:rsid w:val="00C81E6A"/>
    <w:rsid w:val="00C829C9"/>
    <w:rsid w:val="00C83D7B"/>
    <w:rsid w:val="00C849B5"/>
    <w:rsid w:val="00C8518D"/>
    <w:rsid w:val="00C85631"/>
    <w:rsid w:val="00C8650C"/>
    <w:rsid w:val="00C86EC6"/>
    <w:rsid w:val="00C9228D"/>
    <w:rsid w:val="00C9668F"/>
    <w:rsid w:val="00C974D6"/>
    <w:rsid w:val="00CA03A0"/>
    <w:rsid w:val="00CA2911"/>
    <w:rsid w:val="00CA596F"/>
    <w:rsid w:val="00CA5BD0"/>
    <w:rsid w:val="00CB04F6"/>
    <w:rsid w:val="00CB2CFB"/>
    <w:rsid w:val="00CB33EC"/>
    <w:rsid w:val="00CB6368"/>
    <w:rsid w:val="00CB6BD0"/>
    <w:rsid w:val="00CB72FD"/>
    <w:rsid w:val="00CC08AA"/>
    <w:rsid w:val="00CC39BD"/>
    <w:rsid w:val="00CD2500"/>
    <w:rsid w:val="00CD29A9"/>
    <w:rsid w:val="00CD387C"/>
    <w:rsid w:val="00CD56C9"/>
    <w:rsid w:val="00CD74FF"/>
    <w:rsid w:val="00CD7CF7"/>
    <w:rsid w:val="00CD7DA3"/>
    <w:rsid w:val="00CE1C78"/>
    <w:rsid w:val="00CE1EC4"/>
    <w:rsid w:val="00CE565C"/>
    <w:rsid w:val="00CE6579"/>
    <w:rsid w:val="00CE6AB5"/>
    <w:rsid w:val="00CE74AC"/>
    <w:rsid w:val="00CE76EA"/>
    <w:rsid w:val="00CF0A06"/>
    <w:rsid w:val="00CF0AE1"/>
    <w:rsid w:val="00CF3C5D"/>
    <w:rsid w:val="00CF42DC"/>
    <w:rsid w:val="00CF642E"/>
    <w:rsid w:val="00D0026D"/>
    <w:rsid w:val="00D0559F"/>
    <w:rsid w:val="00D06D19"/>
    <w:rsid w:val="00D07046"/>
    <w:rsid w:val="00D1684D"/>
    <w:rsid w:val="00D16B67"/>
    <w:rsid w:val="00D17A52"/>
    <w:rsid w:val="00D17C84"/>
    <w:rsid w:val="00D2008A"/>
    <w:rsid w:val="00D2082B"/>
    <w:rsid w:val="00D22023"/>
    <w:rsid w:val="00D22A73"/>
    <w:rsid w:val="00D23B90"/>
    <w:rsid w:val="00D31358"/>
    <w:rsid w:val="00D336E1"/>
    <w:rsid w:val="00D349BB"/>
    <w:rsid w:val="00D365C7"/>
    <w:rsid w:val="00D36834"/>
    <w:rsid w:val="00D405A1"/>
    <w:rsid w:val="00D406D9"/>
    <w:rsid w:val="00D41756"/>
    <w:rsid w:val="00D43C14"/>
    <w:rsid w:val="00D44327"/>
    <w:rsid w:val="00D512F1"/>
    <w:rsid w:val="00D51DA4"/>
    <w:rsid w:val="00D51FEB"/>
    <w:rsid w:val="00D528EA"/>
    <w:rsid w:val="00D537EF"/>
    <w:rsid w:val="00D54818"/>
    <w:rsid w:val="00D54D20"/>
    <w:rsid w:val="00D5505A"/>
    <w:rsid w:val="00D55C5D"/>
    <w:rsid w:val="00D568B9"/>
    <w:rsid w:val="00D5757A"/>
    <w:rsid w:val="00D57BBC"/>
    <w:rsid w:val="00D61B00"/>
    <w:rsid w:val="00D63B98"/>
    <w:rsid w:val="00D63E12"/>
    <w:rsid w:val="00D65075"/>
    <w:rsid w:val="00D7536C"/>
    <w:rsid w:val="00D75DEC"/>
    <w:rsid w:val="00D76814"/>
    <w:rsid w:val="00D81EB3"/>
    <w:rsid w:val="00D82A3C"/>
    <w:rsid w:val="00D8312D"/>
    <w:rsid w:val="00D8517D"/>
    <w:rsid w:val="00D85D81"/>
    <w:rsid w:val="00D9673A"/>
    <w:rsid w:val="00DA3565"/>
    <w:rsid w:val="00DA3E70"/>
    <w:rsid w:val="00DB0AF9"/>
    <w:rsid w:val="00DB1EA2"/>
    <w:rsid w:val="00DB6CEE"/>
    <w:rsid w:val="00DB733F"/>
    <w:rsid w:val="00DC05A3"/>
    <w:rsid w:val="00DC23C7"/>
    <w:rsid w:val="00DC2FF7"/>
    <w:rsid w:val="00DC3C1B"/>
    <w:rsid w:val="00DD3196"/>
    <w:rsid w:val="00DD6EFB"/>
    <w:rsid w:val="00DE147E"/>
    <w:rsid w:val="00DE24AF"/>
    <w:rsid w:val="00DE2868"/>
    <w:rsid w:val="00DE3786"/>
    <w:rsid w:val="00DE56C1"/>
    <w:rsid w:val="00DE5787"/>
    <w:rsid w:val="00DE7154"/>
    <w:rsid w:val="00DF1380"/>
    <w:rsid w:val="00DF1A9D"/>
    <w:rsid w:val="00DF275E"/>
    <w:rsid w:val="00DF2EDF"/>
    <w:rsid w:val="00DF3409"/>
    <w:rsid w:val="00DF7D2C"/>
    <w:rsid w:val="00E014A1"/>
    <w:rsid w:val="00E032DF"/>
    <w:rsid w:val="00E05667"/>
    <w:rsid w:val="00E06F97"/>
    <w:rsid w:val="00E101CC"/>
    <w:rsid w:val="00E109A8"/>
    <w:rsid w:val="00E116E9"/>
    <w:rsid w:val="00E1204E"/>
    <w:rsid w:val="00E14BE3"/>
    <w:rsid w:val="00E2017A"/>
    <w:rsid w:val="00E21398"/>
    <w:rsid w:val="00E21976"/>
    <w:rsid w:val="00E22D13"/>
    <w:rsid w:val="00E22DE3"/>
    <w:rsid w:val="00E22E5C"/>
    <w:rsid w:val="00E23FD2"/>
    <w:rsid w:val="00E25EE9"/>
    <w:rsid w:val="00E26D7E"/>
    <w:rsid w:val="00E320F5"/>
    <w:rsid w:val="00E321AD"/>
    <w:rsid w:val="00E3473E"/>
    <w:rsid w:val="00E35816"/>
    <w:rsid w:val="00E3676A"/>
    <w:rsid w:val="00E40241"/>
    <w:rsid w:val="00E41CBA"/>
    <w:rsid w:val="00E41CD6"/>
    <w:rsid w:val="00E458E9"/>
    <w:rsid w:val="00E47130"/>
    <w:rsid w:val="00E47F41"/>
    <w:rsid w:val="00E54BAE"/>
    <w:rsid w:val="00E557E0"/>
    <w:rsid w:val="00E57834"/>
    <w:rsid w:val="00E57A93"/>
    <w:rsid w:val="00E60CF5"/>
    <w:rsid w:val="00E6430E"/>
    <w:rsid w:val="00E659F0"/>
    <w:rsid w:val="00E701F4"/>
    <w:rsid w:val="00E71575"/>
    <w:rsid w:val="00E71943"/>
    <w:rsid w:val="00E71956"/>
    <w:rsid w:val="00E72586"/>
    <w:rsid w:val="00E7292F"/>
    <w:rsid w:val="00E7303C"/>
    <w:rsid w:val="00E754CD"/>
    <w:rsid w:val="00E776BA"/>
    <w:rsid w:val="00E77FFC"/>
    <w:rsid w:val="00E82F2C"/>
    <w:rsid w:val="00E8380B"/>
    <w:rsid w:val="00E84504"/>
    <w:rsid w:val="00E84598"/>
    <w:rsid w:val="00E85BA3"/>
    <w:rsid w:val="00E85C81"/>
    <w:rsid w:val="00E9344C"/>
    <w:rsid w:val="00E936BC"/>
    <w:rsid w:val="00E95161"/>
    <w:rsid w:val="00EA3F74"/>
    <w:rsid w:val="00EA4031"/>
    <w:rsid w:val="00EA43AB"/>
    <w:rsid w:val="00EA4444"/>
    <w:rsid w:val="00EB34F6"/>
    <w:rsid w:val="00EB5F08"/>
    <w:rsid w:val="00ED1394"/>
    <w:rsid w:val="00ED36C6"/>
    <w:rsid w:val="00ED3B41"/>
    <w:rsid w:val="00ED4136"/>
    <w:rsid w:val="00ED5117"/>
    <w:rsid w:val="00ED511A"/>
    <w:rsid w:val="00ED58FC"/>
    <w:rsid w:val="00ED5E0A"/>
    <w:rsid w:val="00ED6050"/>
    <w:rsid w:val="00ED6A96"/>
    <w:rsid w:val="00ED6B1B"/>
    <w:rsid w:val="00EE3338"/>
    <w:rsid w:val="00EF07EB"/>
    <w:rsid w:val="00EF101A"/>
    <w:rsid w:val="00EF13F2"/>
    <w:rsid w:val="00EF2E32"/>
    <w:rsid w:val="00EF4A6C"/>
    <w:rsid w:val="00EF509E"/>
    <w:rsid w:val="00EF5CA8"/>
    <w:rsid w:val="00F05701"/>
    <w:rsid w:val="00F05B15"/>
    <w:rsid w:val="00F073B9"/>
    <w:rsid w:val="00F07B05"/>
    <w:rsid w:val="00F1050A"/>
    <w:rsid w:val="00F15B19"/>
    <w:rsid w:val="00F16B03"/>
    <w:rsid w:val="00F20A18"/>
    <w:rsid w:val="00F21C68"/>
    <w:rsid w:val="00F24BA7"/>
    <w:rsid w:val="00F24D17"/>
    <w:rsid w:val="00F24D46"/>
    <w:rsid w:val="00F25F81"/>
    <w:rsid w:val="00F30EA9"/>
    <w:rsid w:val="00F33A65"/>
    <w:rsid w:val="00F341CA"/>
    <w:rsid w:val="00F36088"/>
    <w:rsid w:val="00F37F5A"/>
    <w:rsid w:val="00F40233"/>
    <w:rsid w:val="00F41A3B"/>
    <w:rsid w:val="00F43187"/>
    <w:rsid w:val="00F45433"/>
    <w:rsid w:val="00F4578F"/>
    <w:rsid w:val="00F45EFF"/>
    <w:rsid w:val="00F4757D"/>
    <w:rsid w:val="00F5023D"/>
    <w:rsid w:val="00F50390"/>
    <w:rsid w:val="00F50603"/>
    <w:rsid w:val="00F5381E"/>
    <w:rsid w:val="00F61DB6"/>
    <w:rsid w:val="00F620E5"/>
    <w:rsid w:val="00F6453D"/>
    <w:rsid w:val="00F65988"/>
    <w:rsid w:val="00F65D7A"/>
    <w:rsid w:val="00F65F36"/>
    <w:rsid w:val="00F67492"/>
    <w:rsid w:val="00F73A14"/>
    <w:rsid w:val="00F75D26"/>
    <w:rsid w:val="00F80C2D"/>
    <w:rsid w:val="00F82DA1"/>
    <w:rsid w:val="00F836E7"/>
    <w:rsid w:val="00F85BEE"/>
    <w:rsid w:val="00F87D07"/>
    <w:rsid w:val="00F904D9"/>
    <w:rsid w:val="00F94400"/>
    <w:rsid w:val="00F96233"/>
    <w:rsid w:val="00F96FE8"/>
    <w:rsid w:val="00FA171E"/>
    <w:rsid w:val="00FA3158"/>
    <w:rsid w:val="00FA78C8"/>
    <w:rsid w:val="00FB0B8C"/>
    <w:rsid w:val="00FB1F6C"/>
    <w:rsid w:val="00FB2307"/>
    <w:rsid w:val="00FB40EE"/>
    <w:rsid w:val="00FB4944"/>
    <w:rsid w:val="00FC07E5"/>
    <w:rsid w:val="00FC26B0"/>
    <w:rsid w:val="00FC285B"/>
    <w:rsid w:val="00FC30FF"/>
    <w:rsid w:val="00FC35C8"/>
    <w:rsid w:val="00FC4034"/>
    <w:rsid w:val="00FC66D8"/>
    <w:rsid w:val="00FC7802"/>
    <w:rsid w:val="00FD0745"/>
    <w:rsid w:val="00FD170D"/>
    <w:rsid w:val="00FD1720"/>
    <w:rsid w:val="00FD1B50"/>
    <w:rsid w:val="00FD390A"/>
    <w:rsid w:val="00FD3F11"/>
    <w:rsid w:val="00FD4D9E"/>
    <w:rsid w:val="00FD7C62"/>
    <w:rsid w:val="00FE1F3C"/>
    <w:rsid w:val="00FE2752"/>
    <w:rsid w:val="00FE3373"/>
    <w:rsid w:val="00FE6AD0"/>
    <w:rsid w:val="00FE70CD"/>
    <w:rsid w:val="00FF2B9C"/>
    <w:rsid w:val="00FF2E12"/>
    <w:rsid w:val="00FF32BA"/>
    <w:rsid w:val="00FF5628"/>
    <w:rsid w:val="00FF7D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9D79D49"/>
  <w15:docId w15:val="{86BC6A11-EB85-42BD-BAF7-911FA1D6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C1980"/>
    <w:pPr>
      <w:ind w:firstLine="567"/>
    </w:pPr>
    <w:rPr>
      <w:rFonts w:ascii="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1980"/>
    <w:pPr>
      <w:ind w:left="720"/>
      <w:contextualSpacing/>
    </w:pPr>
  </w:style>
  <w:style w:type="paragraph" w:styleId="Pidipagina">
    <w:name w:val="footer"/>
    <w:basedOn w:val="Normale"/>
    <w:link w:val="PidipaginaCarattere"/>
    <w:uiPriority w:val="99"/>
    <w:rsid w:val="003C1980"/>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3C1980"/>
    <w:rPr>
      <w:rFonts w:ascii="Times New Roman" w:hAnsi="Times New Roman" w:cs="Times New Roman"/>
    </w:rPr>
  </w:style>
  <w:style w:type="paragraph" w:styleId="Rientrocorpodeltesto">
    <w:name w:val="Body Text Indent"/>
    <w:basedOn w:val="Normale"/>
    <w:link w:val="RientrocorpodeltestoCarattere"/>
    <w:uiPriority w:val="99"/>
    <w:rsid w:val="00E23FD2"/>
    <w:pPr>
      <w:ind w:left="4245" w:hanging="4245"/>
    </w:pPr>
    <w:rPr>
      <w:sz w:val="20"/>
      <w:szCs w:val="20"/>
    </w:rPr>
  </w:style>
  <w:style w:type="character" w:customStyle="1" w:styleId="RientrocorpodeltestoCarattere">
    <w:name w:val="Rientro corpo del testo Carattere"/>
    <w:basedOn w:val="Carpredefinitoparagrafo"/>
    <w:link w:val="Rientrocorpodeltesto"/>
    <w:uiPriority w:val="99"/>
    <w:locked/>
    <w:rsid w:val="00E23FD2"/>
    <w:rPr>
      <w:rFonts w:ascii="Times New Roman" w:hAnsi="Times New Roman" w:cs="Times New Roman"/>
      <w:sz w:val="20"/>
    </w:rPr>
  </w:style>
  <w:style w:type="paragraph" w:customStyle="1" w:styleId="Style1">
    <w:name w:val="Style 1"/>
    <w:uiPriority w:val="99"/>
    <w:rsid w:val="00D65075"/>
    <w:pPr>
      <w:widowControl w:val="0"/>
      <w:autoSpaceDE w:val="0"/>
      <w:autoSpaceDN w:val="0"/>
      <w:adjustRightInd w:val="0"/>
    </w:pPr>
    <w:rPr>
      <w:rFonts w:ascii="Times New Roman" w:eastAsia="MS ??" w:hAnsi="Times New Roman"/>
      <w:sz w:val="20"/>
      <w:szCs w:val="20"/>
    </w:rPr>
  </w:style>
  <w:style w:type="paragraph" w:customStyle="1" w:styleId="style1cxspmedio">
    <w:name w:val="style1cxspmedio"/>
    <w:basedOn w:val="Normale"/>
    <w:uiPriority w:val="99"/>
    <w:rsid w:val="00FD7C62"/>
    <w:pPr>
      <w:spacing w:before="100" w:beforeAutospacing="1" w:after="100" w:afterAutospacing="1"/>
      <w:ind w:firstLine="0"/>
    </w:pPr>
  </w:style>
  <w:style w:type="character" w:styleId="Enfasicorsivo">
    <w:name w:val="Emphasis"/>
    <w:basedOn w:val="Carpredefinitoparagrafo"/>
    <w:uiPriority w:val="99"/>
    <w:qFormat/>
    <w:rsid w:val="00DB733F"/>
    <w:rPr>
      <w:rFonts w:cs="Times New Roman"/>
      <w:b/>
    </w:rPr>
  </w:style>
  <w:style w:type="character" w:customStyle="1" w:styleId="st1">
    <w:name w:val="st1"/>
    <w:uiPriority w:val="99"/>
    <w:rsid w:val="00DB733F"/>
  </w:style>
  <w:style w:type="paragraph" w:styleId="PreformattatoHTML">
    <w:name w:val="HTML Preformatted"/>
    <w:basedOn w:val="Normale"/>
    <w:link w:val="PreformattatoHTMLCarattere"/>
    <w:uiPriority w:val="99"/>
    <w:rsid w:val="00BB0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szCs w:val="20"/>
    </w:rPr>
  </w:style>
  <w:style w:type="character" w:customStyle="1" w:styleId="PreformattatoHTMLCarattere">
    <w:name w:val="Preformattato HTML Carattere"/>
    <w:basedOn w:val="Carpredefinitoparagrafo"/>
    <w:link w:val="PreformattatoHTML"/>
    <w:uiPriority w:val="99"/>
    <w:locked/>
    <w:rsid w:val="00BB07B1"/>
    <w:rPr>
      <w:rFonts w:ascii="Courier New" w:hAnsi="Courier New" w:cs="Times New Roman"/>
      <w:sz w:val="20"/>
    </w:rPr>
  </w:style>
  <w:style w:type="paragraph" w:customStyle="1" w:styleId="msonormalcxspmediocxspmedio">
    <w:name w:val="msonormalcxspmediocxspmedio"/>
    <w:basedOn w:val="Normale"/>
    <w:uiPriority w:val="99"/>
    <w:rsid w:val="005B6538"/>
    <w:pPr>
      <w:spacing w:before="100" w:beforeAutospacing="1" w:after="100" w:afterAutospacing="1"/>
      <w:ind w:firstLine="0"/>
    </w:pPr>
  </w:style>
  <w:style w:type="paragraph" w:styleId="Testonotaapidipagina">
    <w:name w:val="footnote text"/>
    <w:basedOn w:val="Normale"/>
    <w:link w:val="TestonotaapidipaginaCarattere"/>
    <w:uiPriority w:val="99"/>
    <w:semiHidden/>
    <w:rsid w:val="00881862"/>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881862"/>
    <w:rPr>
      <w:rFonts w:ascii="Times New Roman" w:hAnsi="Times New Roman" w:cs="Times New Roman"/>
      <w:sz w:val="20"/>
    </w:rPr>
  </w:style>
  <w:style w:type="character" w:styleId="Rimandonotaapidipagina">
    <w:name w:val="footnote reference"/>
    <w:basedOn w:val="Carpredefinitoparagrafo"/>
    <w:uiPriority w:val="99"/>
    <w:semiHidden/>
    <w:rsid w:val="00881862"/>
    <w:rPr>
      <w:rFonts w:cs="Times New Roman"/>
      <w:vertAlign w:val="superscript"/>
    </w:rPr>
  </w:style>
  <w:style w:type="paragraph" w:styleId="Testofumetto">
    <w:name w:val="Balloon Text"/>
    <w:basedOn w:val="Normale"/>
    <w:link w:val="TestofumettoCarattere"/>
    <w:uiPriority w:val="99"/>
    <w:semiHidden/>
    <w:rsid w:val="00ED511A"/>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ED511A"/>
    <w:rPr>
      <w:rFonts w:ascii="Tahoma" w:hAnsi="Tahoma" w:cs="Times New Roman"/>
      <w:sz w:val="16"/>
    </w:rPr>
  </w:style>
  <w:style w:type="character" w:styleId="Enfasigrassetto">
    <w:name w:val="Strong"/>
    <w:basedOn w:val="Carpredefinitoparagrafo"/>
    <w:uiPriority w:val="99"/>
    <w:qFormat/>
    <w:rsid w:val="00540B1C"/>
    <w:rPr>
      <w:rFonts w:cs="Times New Roman"/>
      <w:b/>
    </w:rPr>
  </w:style>
  <w:style w:type="paragraph" w:styleId="Corpotesto">
    <w:name w:val="Body Text"/>
    <w:basedOn w:val="Normale"/>
    <w:link w:val="CorpotestoCarattere"/>
    <w:uiPriority w:val="99"/>
    <w:semiHidden/>
    <w:rsid w:val="00B62B79"/>
    <w:pPr>
      <w:spacing w:after="120"/>
    </w:pPr>
    <w:rPr>
      <w:sz w:val="20"/>
      <w:szCs w:val="20"/>
    </w:rPr>
  </w:style>
  <w:style w:type="character" w:customStyle="1" w:styleId="CorpotestoCarattere">
    <w:name w:val="Corpo testo Carattere"/>
    <w:basedOn w:val="Carpredefinitoparagrafo"/>
    <w:link w:val="Corpotesto"/>
    <w:uiPriority w:val="99"/>
    <w:semiHidden/>
    <w:locked/>
    <w:rsid w:val="00B62B79"/>
    <w:rPr>
      <w:rFonts w:ascii="Times New Roman" w:hAnsi="Times New Roman" w:cs="Times New Roman"/>
    </w:rPr>
  </w:style>
  <w:style w:type="paragraph" w:customStyle="1" w:styleId="Paragrafoelenco1">
    <w:name w:val="Paragrafo elenco1"/>
    <w:basedOn w:val="Normale"/>
    <w:uiPriority w:val="99"/>
    <w:rsid w:val="00B62B79"/>
    <w:pPr>
      <w:ind w:left="720"/>
      <w:contextualSpacing/>
    </w:pPr>
  </w:style>
  <w:style w:type="paragraph" w:styleId="NormaleWeb">
    <w:name w:val="Normal (Web)"/>
    <w:basedOn w:val="Normale"/>
    <w:rsid w:val="00B62B79"/>
    <w:pPr>
      <w:spacing w:before="100" w:beforeAutospacing="1" w:after="100" w:afterAutospacing="1"/>
      <w:ind w:firstLine="0"/>
    </w:pPr>
  </w:style>
  <w:style w:type="paragraph" w:styleId="Intestazione">
    <w:name w:val="header"/>
    <w:basedOn w:val="Normale"/>
    <w:link w:val="IntestazioneCarattere"/>
    <w:uiPriority w:val="99"/>
    <w:rsid w:val="00CC39BD"/>
    <w:pPr>
      <w:tabs>
        <w:tab w:val="center" w:pos="4819"/>
        <w:tab w:val="right" w:pos="9638"/>
      </w:tabs>
    </w:pPr>
  </w:style>
  <w:style w:type="character" w:customStyle="1" w:styleId="IntestazioneCarattere">
    <w:name w:val="Intestazione Carattere"/>
    <w:basedOn w:val="Carpredefinitoparagrafo"/>
    <w:link w:val="Intestazione"/>
    <w:uiPriority w:val="99"/>
    <w:locked/>
    <w:rsid w:val="00CC39BD"/>
    <w:rPr>
      <w:rFonts w:ascii="Times New Roman" w:hAnsi="Times New Roman" w:cs="Times New Roman"/>
      <w:sz w:val="24"/>
    </w:rPr>
  </w:style>
  <w:style w:type="character" w:customStyle="1" w:styleId="CharacterStyle1">
    <w:name w:val="Character Style 1"/>
    <w:uiPriority w:val="99"/>
    <w:rsid w:val="002717D2"/>
    <w:rPr>
      <w:sz w:val="24"/>
    </w:rPr>
  </w:style>
  <w:style w:type="paragraph" w:customStyle="1" w:styleId="sentcenter">
    <w:name w:val="sent_center"/>
    <w:basedOn w:val="Normale"/>
    <w:rsid w:val="00B91F3F"/>
    <w:pPr>
      <w:spacing w:before="100" w:beforeAutospacing="1" w:after="100" w:afterAutospacing="1"/>
      <w:ind w:firstLine="0"/>
      <w:jc w:val="center"/>
    </w:pPr>
    <w:rPr>
      <w:rFonts w:ascii="Arial Unicode MS" w:eastAsia="Arial Unicode MS" w:hAnsi="Arial Unicode MS" w:cs="Arial Unicode MS"/>
    </w:rPr>
  </w:style>
  <w:style w:type="paragraph" w:customStyle="1" w:styleId="CdcIntestazionecopertina">
    <w:name w:val="Cdc_ Intestazione copertina"/>
    <w:basedOn w:val="Normale"/>
    <w:link w:val="CdcIntestazionecopertinaCarattere"/>
    <w:qFormat/>
    <w:rsid w:val="00514732"/>
    <w:pPr>
      <w:spacing w:after="160" w:line="276" w:lineRule="auto"/>
      <w:ind w:firstLine="0"/>
    </w:pPr>
    <w:rPr>
      <w:rFonts w:ascii="Bodoni MT" w:eastAsia="Times New Roman" w:hAnsi="Bodoni MT"/>
      <w:caps/>
      <w:sz w:val="36"/>
      <w:szCs w:val="36"/>
      <w:lang w:eastAsia="en-US"/>
    </w:rPr>
  </w:style>
  <w:style w:type="character" w:customStyle="1" w:styleId="CdcIntestazionecopertinaCarattere">
    <w:name w:val="Cdc_ Intestazione copertina Carattere"/>
    <w:basedOn w:val="Carpredefinitoparagrafo"/>
    <w:link w:val="CdcIntestazionecopertina"/>
    <w:rsid w:val="00514732"/>
    <w:rPr>
      <w:rFonts w:ascii="Bodoni MT" w:eastAsia="Times New Roman" w:hAnsi="Bodoni MT"/>
      <w:caps/>
      <w:sz w:val="36"/>
      <w:szCs w:val="36"/>
      <w:lang w:eastAsia="en-US"/>
    </w:rPr>
  </w:style>
  <w:style w:type="paragraph" w:customStyle="1" w:styleId="CdcTitolocopertina">
    <w:name w:val="Cdc_Titolo copertina"/>
    <w:basedOn w:val="Normale"/>
    <w:link w:val="CdcTitolocopertinaCarattere"/>
    <w:qFormat/>
    <w:rsid w:val="00514732"/>
    <w:pPr>
      <w:spacing w:after="160"/>
      <w:ind w:firstLine="0"/>
      <w:jc w:val="center"/>
    </w:pPr>
    <w:rPr>
      <w:rFonts w:ascii="Arial" w:eastAsia="Times New Roman" w:hAnsi="Arial" w:cs="Arial"/>
      <w:b/>
      <w:color w:val="FFFFFF"/>
      <w:sz w:val="60"/>
      <w:szCs w:val="56"/>
      <w:lang w:eastAsia="en-US"/>
    </w:rPr>
  </w:style>
  <w:style w:type="character" w:customStyle="1" w:styleId="CdcTitolocopertinaCarattere">
    <w:name w:val="Cdc_Titolo copertina Carattere"/>
    <w:basedOn w:val="Carpredefinitoparagrafo"/>
    <w:link w:val="CdcTitolocopertina"/>
    <w:rsid w:val="00514732"/>
    <w:rPr>
      <w:rFonts w:ascii="Arial" w:eastAsia="Times New Roman" w:hAnsi="Arial" w:cs="Arial"/>
      <w:b/>
      <w:color w:val="FFFFFF"/>
      <w:sz w:val="60"/>
      <w:szCs w:val="56"/>
      <w:lang w:eastAsia="en-US"/>
    </w:rPr>
  </w:style>
  <w:style w:type="paragraph" w:customStyle="1" w:styleId="CdcUdienzacopertina">
    <w:name w:val="Cdc_Udienza copertina"/>
    <w:basedOn w:val="Normale"/>
    <w:link w:val="CdcUdienzacopertinaCarattere"/>
    <w:qFormat/>
    <w:rsid w:val="00514732"/>
    <w:pPr>
      <w:spacing w:after="160" w:line="276" w:lineRule="auto"/>
      <w:ind w:firstLine="0"/>
      <w:jc w:val="center"/>
    </w:pPr>
    <w:rPr>
      <w:rFonts w:ascii="Arial" w:eastAsia="Times New Roman" w:hAnsi="Arial" w:cs="Arial"/>
      <w:b/>
      <w:i/>
      <w:sz w:val="36"/>
      <w:szCs w:val="36"/>
      <w:lang w:eastAsia="en-US"/>
    </w:rPr>
  </w:style>
  <w:style w:type="character" w:customStyle="1" w:styleId="CdcUdienzacopertinaCarattere">
    <w:name w:val="Cdc_Udienza copertina Carattere"/>
    <w:basedOn w:val="Carpredefinitoparagrafo"/>
    <w:link w:val="CdcUdienzacopertina"/>
    <w:rsid w:val="00514732"/>
    <w:rPr>
      <w:rFonts w:ascii="Arial" w:eastAsia="Times New Roman" w:hAnsi="Arial" w:cs="Arial"/>
      <w:b/>
      <w:i/>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35528">
      <w:bodyDiv w:val="1"/>
      <w:marLeft w:val="0"/>
      <w:marRight w:val="0"/>
      <w:marTop w:val="0"/>
      <w:marBottom w:val="0"/>
      <w:divBdr>
        <w:top w:val="none" w:sz="0" w:space="0" w:color="auto"/>
        <w:left w:val="none" w:sz="0" w:space="0" w:color="auto"/>
        <w:bottom w:val="none" w:sz="0" w:space="0" w:color="auto"/>
        <w:right w:val="none" w:sz="0" w:space="0" w:color="auto"/>
      </w:divBdr>
    </w:div>
    <w:div w:id="392046253">
      <w:marLeft w:val="0"/>
      <w:marRight w:val="0"/>
      <w:marTop w:val="0"/>
      <w:marBottom w:val="0"/>
      <w:divBdr>
        <w:top w:val="none" w:sz="0" w:space="0" w:color="auto"/>
        <w:left w:val="none" w:sz="0" w:space="0" w:color="auto"/>
        <w:bottom w:val="none" w:sz="0" w:space="0" w:color="auto"/>
        <w:right w:val="none" w:sz="0" w:space="0" w:color="auto"/>
      </w:divBdr>
    </w:div>
    <w:div w:id="392046254">
      <w:marLeft w:val="0"/>
      <w:marRight w:val="0"/>
      <w:marTop w:val="0"/>
      <w:marBottom w:val="0"/>
      <w:divBdr>
        <w:top w:val="none" w:sz="0" w:space="0" w:color="auto"/>
        <w:left w:val="none" w:sz="0" w:space="0" w:color="auto"/>
        <w:bottom w:val="none" w:sz="0" w:space="0" w:color="auto"/>
        <w:right w:val="none" w:sz="0" w:space="0" w:color="auto"/>
      </w:divBdr>
    </w:div>
    <w:div w:id="392046255">
      <w:marLeft w:val="0"/>
      <w:marRight w:val="0"/>
      <w:marTop w:val="0"/>
      <w:marBottom w:val="0"/>
      <w:divBdr>
        <w:top w:val="none" w:sz="0" w:space="0" w:color="auto"/>
        <w:left w:val="none" w:sz="0" w:space="0" w:color="auto"/>
        <w:bottom w:val="none" w:sz="0" w:space="0" w:color="auto"/>
        <w:right w:val="none" w:sz="0" w:space="0" w:color="auto"/>
      </w:divBdr>
    </w:div>
    <w:div w:id="608316930">
      <w:bodyDiv w:val="1"/>
      <w:marLeft w:val="0"/>
      <w:marRight w:val="0"/>
      <w:marTop w:val="0"/>
      <w:marBottom w:val="0"/>
      <w:divBdr>
        <w:top w:val="none" w:sz="0" w:space="0" w:color="auto"/>
        <w:left w:val="none" w:sz="0" w:space="0" w:color="auto"/>
        <w:bottom w:val="none" w:sz="0" w:space="0" w:color="auto"/>
        <w:right w:val="none" w:sz="0" w:space="0" w:color="auto"/>
      </w:divBdr>
    </w:div>
    <w:div w:id="626278235">
      <w:bodyDiv w:val="1"/>
      <w:marLeft w:val="0"/>
      <w:marRight w:val="0"/>
      <w:marTop w:val="0"/>
      <w:marBottom w:val="0"/>
      <w:divBdr>
        <w:top w:val="none" w:sz="0" w:space="0" w:color="auto"/>
        <w:left w:val="none" w:sz="0" w:space="0" w:color="auto"/>
        <w:bottom w:val="none" w:sz="0" w:space="0" w:color="auto"/>
        <w:right w:val="none" w:sz="0" w:space="0" w:color="auto"/>
      </w:divBdr>
    </w:div>
    <w:div w:id="723263130">
      <w:bodyDiv w:val="1"/>
      <w:marLeft w:val="0"/>
      <w:marRight w:val="0"/>
      <w:marTop w:val="0"/>
      <w:marBottom w:val="0"/>
      <w:divBdr>
        <w:top w:val="none" w:sz="0" w:space="0" w:color="auto"/>
        <w:left w:val="none" w:sz="0" w:space="0" w:color="auto"/>
        <w:bottom w:val="none" w:sz="0" w:space="0" w:color="auto"/>
        <w:right w:val="none" w:sz="0" w:space="0" w:color="auto"/>
      </w:divBdr>
    </w:div>
    <w:div w:id="1242442947">
      <w:bodyDiv w:val="1"/>
      <w:marLeft w:val="0"/>
      <w:marRight w:val="0"/>
      <w:marTop w:val="0"/>
      <w:marBottom w:val="0"/>
      <w:divBdr>
        <w:top w:val="none" w:sz="0" w:space="0" w:color="auto"/>
        <w:left w:val="none" w:sz="0" w:space="0" w:color="auto"/>
        <w:bottom w:val="none" w:sz="0" w:space="0" w:color="auto"/>
        <w:right w:val="none" w:sz="0" w:space="0" w:color="auto"/>
      </w:divBdr>
    </w:div>
    <w:div w:id="1329674445">
      <w:bodyDiv w:val="1"/>
      <w:marLeft w:val="0"/>
      <w:marRight w:val="0"/>
      <w:marTop w:val="0"/>
      <w:marBottom w:val="0"/>
      <w:divBdr>
        <w:top w:val="none" w:sz="0" w:space="0" w:color="auto"/>
        <w:left w:val="none" w:sz="0" w:space="0" w:color="auto"/>
        <w:bottom w:val="none" w:sz="0" w:space="0" w:color="auto"/>
        <w:right w:val="none" w:sz="0" w:space="0" w:color="auto"/>
      </w:divBdr>
    </w:div>
    <w:div w:id="1457866322">
      <w:bodyDiv w:val="1"/>
      <w:marLeft w:val="0"/>
      <w:marRight w:val="0"/>
      <w:marTop w:val="0"/>
      <w:marBottom w:val="0"/>
      <w:divBdr>
        <w:top w:val="none" w:sz="0" w:space="0" w:color="auto"/>
        <w:left w:val="none" w:sz="0" w:space="0" w:color="auto"/>
        <w:bottom w:val="none" w:sz="0" w:space="0" w:color="auto"/>
        <w:right w:val="none" w:sz="0" w:space="0" w:color="auto"/>
      </w:divBdr>
    </w:div>
    <w:div w:id="1478689509">
      <w:bodyDiv w:val="1"/>
      <w:marLeft w:val="0"/>
      <w:marRight w:val="0"/>
      <w:marTop w:val="0"/>
      <w:marBottom w:val="0"/>
      <w:divBdr>
        <w:top w:val="none" w:sz="0" w:space="0" w:color="auto"/>
        <w:left w:val="none" w:sz="0" w:space="0" w:color="auto"/>
        <w:bottom w:val="none" w:sz="0" w:space="0" w:color="auto"/>
        <w:right w:val="none" w:sz="0" w:space="0" w:color="auto"/>
      </w:divBdr>
    </w:div>
    <w:div w:id="1754545196">
      <w:bodyDiv w:val="1"/>
      <w:marLeft w:val="0"/>
      <w:marRight w:val="0"/>
      <w:marTop w:val="0"/>
      <w:marBottom w:val="0"/>
      <w:divBdr>
        <w:top w:val="none" w:sz="0" w:space="0" w:color="auto"/>
        <w:left w:val="none" w:sz="0" w:space="0" w:color="auto"/>
        <w:bottom w:val="none" w:sz="0" w:space="0" w:color="auto"/>
        <w:right w:val="none" w:sz="0" w:space="0" w:color="auto"/>
      </w:divBdr>
    </w:div>
    <w:div w:id="1805854811">
      <w:bodyDiv w:val="1"/>
      <w:marLeft w:val="0"/>
      <w:marRight w:val="0"/>
      <w:marTop w:val="0"/>
      <w:marBottom w:val="0"/>
      <w:divBdr>
        <w:top w:val="none" w:sz="0" w:space="0" w:color="auto"/>
        <w:left w:val="none" w:sz="0" w:space="0" w:color="auto"/>
        <w:bottom w:val="none" w:sz="0" w:space="0" w:color="auto"/>
        <w:right w:val="none" w:sz="0" w:space="0" w:color="auto"/>
      </w:divBdr>
    </w:div>
    <w:div w:id="21298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289D99B39585D4392D41F36DD256A73" ma:contentTypeVersion="7" ma:contentTypeDescription="Creare un nuovo documento." ma:contentTypeScope="" ma:versionID="ae3043d56162d3b9f5ac364a61d92bdb">
  <xsd:schema xmlns:xsd="http://www.w3.org/2001/XMLSchema" xmlns:xs="http://www.w3.org/2001/XMLSchema" xmlns:p="http://schemas.microsoft.com/office/2006/metadata/properties" xmlns:ns2="0eb5a4c1-ca48-4932-bdd7-78d580e1f8df" xmlns:ns3="95f0829a-5ee1-497a-9003-5b111ccf4cd5" targetNamespace="http://schemas.microsoft.com/office/2006/metadata/properties" ma:root="true" ma:fieldsID="c61a3bb17600782a0b30f5dc3e5ead31" ns2:_="" ns3:_="">
    <xsd:import namespace="0eb5a4c1-ca48-4932-bdd7-78d580e1f8df"/>
    <xsd:import namespace="95f0829a-5ee1-497a-9003-5b111ccf4c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5a4c1-ca48-4932-bdd7-78d580e1f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0829a-5ee1-497a-9003-5b111ccf4cd5"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C596E-001C-45C7-ACEA-DC2FCA59B016}">
  <ds:schemaRefs>
    <ds:schemaRef ds:uri="0eb5a4c1-ca48-4932-bdd7-78d580e1f8d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95f0829a-5ee1-497a-9003-5b111ccf4cd5"/>
    <ds:schemaRef ds:uri="http://www.w3.org/XML/1998/namespace"/>
    <ds:schemaRef ds:uri="http://purl.org/dc/dcmitype/"/>
  </ds:schemaRefs>
</ds:datastoreItem>
</file>

<file path=customXml/itemProps2.xml><?xml version="1.0" encoding="utf-8"?>
<ds:datastoreItem xmlns:ds="http://schemas.openxmlformats.org/officeDocument/2006/customXml" ds:itemID="{FF89A4B3-F8F3-4C5D-82D8-2F09140893E4}">
  <ds:schemaRefs>
    <ds:schemaRef ds:uri="http://schemas.microsoft.com/sharepoint/v3/contenttype/forms"/>
  </ds:schemaRefs>
</ds:datastoreItem>
</file>

<file path=customXml/itemProps3.xml><?xml version="1.0" encoding="utf-8"?>
<ds:datastoreItem xmlns:ds="http://schemas.openxmlformats.org/officeDocument/2006/customXml" ds:itemID="{0E43AF63-52C4-4F15-A532-95F8D68F9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5a4c1-ca48-4932-bdd7-78d580e1f8df"/>
    <ds:schemaRef ds:uri="95f0829a-5ee1-497a-9003-5b111ccf4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29421B-BC8E-49B4-851A-F0182F5B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7101</Words>
  <Characters>42430</Characters>
  <Application>Microsoft Office Word</Application>
  <DocSecurity>0</DocSecurity>
  <Lines>353</Lines>
  <Paragraphs>98</Paragraphs>
  <ScaleCrop>false</ScaleCrop>
  <HeadingPairs>
    <vt:vector size="2" baseType="variant">
      <vt:variant>
        <vt:lpstr>Titolo</vt:lpstr>
      </vt:variant>
      <vt:variant>
        <vt:i4>1</vt:i4>
      </vt:variant>
    </vt:vector>
  </HeadingPairs>
  <TitlesOfParts>
    <vt:vector size="1" baseType="lpstr">
      <vt:lpstr/>
    </vt:vector>
  </TitlesOfParts>
  <Company>home</Company>
  <LinksUpToDate>false</LinksUpToDate>
  <CharactersWithSpaces>49433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Caiffa Roberta</dc:creator>
  <cp:keywords/>
  <dc:description/>
  <cp:lastModifiedBy>Ercolani Giuliana</cp:lastModifiedBy>
  <cp:revision>3</cp:revision>
  <cp:lastPrinted>2018-07-20T07:16:00Z</cp:lastPrinted>
  <dcterms:created xsi:type="dcterms:W3CDTF">2019-04-10T08:38:00Z</dcterms:created>
  <dcterms:modified xsi:type="dcterms:W3CDTF">2019-04-10T09:21:00Z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0x010100B289D99B39585D4392D41F36DD256A73</vt:lpwstr>
  </property>
</Properties>
</file>